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09A" w:rsidRPr="009B209A" w:rsidRDefault="00943A9C" w:rsidP="00943A9C">
      <w:pPr>
        <w:suppressAutoHyphens w:val="0"/>
        <w:autoSpaceDE w:val="0"/>
        <w:autoSpaceDN w:val="0"/>
        <w:ind w:firstLine="658"/>
        <w:jc w:val="center"/>
        <w:rPr>
          <w:rFonts w:ascii="Times New Roman" w:eastAsia="Times New Roman" w:hAnsi="Times New Roman"/>
          <w:kern w:val="0"/>
          <w:sz w:val="24"/>
          <w:lang w:eastAsia="ru-RU"/>
        </w:rPr>
      </w:pPr>
      <w:r w:rsidRPr="009B209A">
        <w:rPr>
          <w:rFonts w:ascii="Times New Roman" w:eastAsia="Times New Roman" w:hAnsi="Times New Roman"/>
          <w:kern w:val="0"/>
          <w:sz w:val="24"/>
          <w:lang w:eastAsia="ru-RU"/>
        </w:rPr>
        <w:t>Паспорт муниципальной программы</w:t>
      </w:r>
    </w:p>
    <w:p w:rsidR="00943A9C" w:rsidRPr="009B209A" w:rsidRDefault="009B209A" w:rsidP="00943A9C">
      <w:pPr>
        <w:suppressAutoHyphens w:val="0"/>
        <w:autoSpaceDE w:val="0"/>
        <w:autoSpaceDN w:val="0"/>
        <w:ind w:firstLine="658"/>
        <w:jc w:val="center"/>
        <w:rPr>
          <w:rFonts w:ascii="Times New Roman" w:eastAsia="Times New Roman" w:hAnsi="Times New Roman"/>
          <w:kern w:val="0"/>
          <w:sz w:val="24"/>
          <w:lang w:eastAsia="ru-RU"/>
        </w:rPr>
      </w:pPr>
      <w:r w:rsidRPr="009B209A">
        <w:rPr>
          <w:rFonts w:ascii="Times New Roman" w:eastAsia="Times New Roman" w:hAnsi="Times New Roman"/>
          <w:kern w:val="0"/>
          <w:sz w:val="24"/>
          <w:lang w:eastAsia="ru-RU"/>
        </w:rPr>
        <w:t>«</w:t>
      </w:r>
      <w:r w:rsidRPr="009B209A">
        <w:rPr>
          <w:rFonts w:ascii="Times New Roman" w:hAnsi="Times New Roman"/>
          <w:sz w:val="24"/>
        </w:rPr>
        <w:t>Развитие жилищной сферы в городе Покачи»</w:t>
      </w:r>
    </w:p>
    <w:p w:rsidR="00943A9C" w:rsidRPr="009B209A" w:rsidRDefault="00943A9C" w:rsidP="00943A9C">
      <w:pPr>
        <w:suppressAutoHyphens w:val="0"/>
        <w:autoSpaceDE w:val="0"/>
        <w:autoSpaceDN w:val="0"/>
        <w:ind w:firstLine="658"/>
        <w:jc w:val="center"/>
        <w:rPr>
          <w:rFonts w:ascii="Times New Roman" w:eastAsia="Times New Roman" w:hAnsi="Times New Roman"/>
          <w:kern w:val="0"/>
          <w:sz w:val="24"/>
          <w:lang w:eastAsia="ru-RU"/>
        </w:rPr>
      </w:pPr>
    </w:p>
    <w:tbl>
      <w:tblPr>
        <w:tblW w:w="9356" w:type="dxa"/>
        <w:tblInd w:w="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05"/>
        <w:gridCol w:w="2948"/>
        <w:gridCol w:w="5903"/>
      </w:tblGrid>
      <w:tr w:rsidR="00943A9C" w:rsidRPr="009B209A" w:rsidTr="000672BB">
        <w:tc>
          <w:tcPr>
            <w:tcW w:w="505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8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903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hAnsi="Times New Roman" w:cs="Times New Roman"/>
                <w:sz w:val="24"/>
                <w:szCs w:val="24"/>
              </w:rPr>
              <w:t>Развитие жилищной сферы в городе Покачи</w:t>
            </w:r>
          </w:p>
        </w:tc>
      </w:tr>
      <w:tr w:rsidR="00943A9C" w:rsidRPr="009B209A" w:rsidTr="000672BB">
        <w:tc>
          <w:tcPr>
            <w:tcW w:w="505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8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hAnsi="Times New Roman" w:cs="Times New Roman"/>
                <w:sz w:val="24"/>
                <w:szCs w:val="24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5903" w:type="dxa"/>
          </w:tcPr>
          <w:p w:rsidR="00943A9C" w:rsidRPr="009B209A" w:rsidRDefault="00943A9C" w:rsidP="000672BB">
            <w:pPr>
              <w:autoSpaceDE w:val="0"/>
              <w:jc w:val="both"/>
              <w:rPr>
                <w:rFonts w:ascii="Times New Roman" w:hAnsi="Times New Roman"/>
                <w:sz w:val="24"/>
              </w:rPr>
            </w:pPr>
            <w:r w:rsidRPr="009B209A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Постановление администрации города Покачи от 12.10.2018 №1005 </w:t>
            </w:r>
            <w:r w:rsidR="009B209A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«</w:t>
            </w:r>
            <w:r w:rsidRPr="009B209A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Об утверж</w:t>
            </w:r>
            <w:r w:rsidR="002331C6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дении муниципальной программы «</w:t>
            </w:r>
            <w:r w:rsidR="002331C6" w:rsidRPr="009B209A">
              <w:rPr>
                <w:rFonts w:ascii="Times New Roman" w:hAnsi="Times New Roman"/>
                <w:sz w:val="24"/>
              </w:rPr>
              <w:t>Развитие жилищной сферы в городе Покачи</w:t>
            </w:r>
            <w:bookmarkStart w:id="0" w:name="_GoBack"/>
            <w:bookmarkEnd w:id="0"/>
            <w:r w:rsidRPr="009B209A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»</w:t>
            </w:r>
          </w:p>
        </w:tc>
      </w:tr>
      <w:tr w:rsidR="00943A9C" w:rsidRPr="009B209A" w:rsidTr="000672BB">
        <w:tc>
          <w:tcPr>
            <w:tcW w:w="505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8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903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Комитет по управлению муниципальным имуществом администрации города Покачи (далее – Комитет)</w:t>
            </w:r>
          </w:p>
        </w:tc>
      </w:tr>
      <w:tr w:rsidR="00943A9C" w:rsidRPr="009B209A" w:rsidTr="000672BB">
        <w:tc>
          <w:tcPr>
            <w:tcW w:w="505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8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5903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0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Отсутствуют</w:t>
            </w:r>
          </w:p>
        </w:tc>
      </w:tr>
      <w:tr w:rsidR="00943A9C" w:rsidRPr="009B209A" w:rsidTr="000672BB">
        <w:tc>
          <w:tcPr>
            <w:tcW w:w="505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8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903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0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Создание условий для обеспечения жильем отдельных категорий граждан на территории муниципального образования город Покачи</w:t>
            </w:r>
          </w:p>
        </w:tc>
      </w:tr>
      <w:tr w:rsidR="00943A9C" w:rsidRPr="009B209A" w:rsidTr="000672BB">
        <w:tc>
          <w:tcPr>
            <w:tcW w:w="505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48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5903" w:type="dxa"/>
          </w:tcPr>
          <w:p w:rsidR="00943A9C" w:rsidRPr="009B209A" w:rsidRDefault="00943A9C" w:rsidP="000672B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9B209A">
              <w:rPr>
                <w:rFonts w:ascii="Times New Roman" w:eastAsia="Calibri" w:hAnsi="Times New Roman"/>
                <w:kern w:val="0"/>
                <w:sz w:val="24"/>
                <w:lang w:eastAsia="ru-RU"/>
              </w:rPr>
              <w:t xml:space="preserve">Улучшение жилищных условий граждан, проживающих на территории </w:t>
            </w:r>
            <w:r w:rsidRPr="009B209A">
              <w:rPr>
                <w:rFonts w:ascii="Times New Roman" w:eastAsia="Times New Roman" w:hAnsi="Times New Roman"/>
                <w:kern w:val="0"/>
                <w:sz w:val="24"/>
              </w:rPr>
              <w:t>муниципального образования город Покачи:</w:t>
            </w:r>
          </w:p>
          <w:p w:rsidR="00943A9C" w:rsidRPr="009B209A" w:rsidRDefault="00943A9C" w:rsidP="000672B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kern w:val="0"/>
                <w:sz w:val="24"/>
                <w:lang w:eastAsia="ru-RU"/>
              </w:rPr>
            </w:pPr>
            <w:r w:rsidRPr="009B209A">
              <w:rPr>
                <w:rFonts w:ascii="Times New Roman" w:eastAsia="Calibri" w:hAnsi="Times New Roman"/>
                <w:kern w:val="0"/>
                <w:sz w:val="24"/>
                <w:lang w:eastAsia="ru-RU"/>
              </w:rPr>
              <w:t>1) обеспечения жилыми помещениями граждан, состоящих на учете в качестве нуждающихся в жилых помещениях, предоставляемых по договорам социального найма;</w:t>
            </w:r>
          </w:p>
          <w:p w:rsidR="00943A9C" w:rsidRPr="009B209A" w:rsidRDefault="00943A9C" w:rsidP="000672B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kern w:val="0"/>
                <w:sz w:val="24"/>
                <w:lang w:eastAsia="ru-RU"/>
              </w:rPr>
            </w:pPr>
            <w:r w:rsidRPr="009B209A">
              <w:rPr>
                <w:rFonts w:ascii="Times New Roman" w:eastAsia="Calibri" w:hAnsi="Times New Roman"/>
                <w:kern w:val="0"/>
                <w:sz w:val="24"/>
                <w:lang w:eastAsia="ru-RU"/>
              </w:rPr>
              <w:t xml:space="preserve">2) предоставление </w:t>
            </w:r>
            <w:r w:rsidRPr="009B209A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субсидий за счет субвенций из федерального бюджета на приобретение жилых помещений в собственность ветеранам боевых действий, инвалидам и семьям, имеющим детей-инвалидов, вставшим на учет в качестве нуждающихся в жилых помещениях до 1 января 2005 года</w:t>
            </w:r>
          </w:p>
        </w:tc>
      </w:tr>
      <w:tr w:rsidR="00943A9C" w:rsidRPr="009B209A" w:rsidTr="000672BB">
        <w:tc>
          <w:tcPr>
            <w:tcW w:w="505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48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hAnsi="Times New Roman" w:cs="Times New Roman"/>
                <w:sz w:val="24"/>
                <w:szCs w:val="24"/>
              </w:rPr>
              <w:t>Подпрограммы или основные мероприятия муниципальной программы</w:t>
            </w:r>
          </w:p>
        </w:tc>
        <w:tc>
          <w:tcPr>
            <w:tcW w:w="5903" w:type="dxa"/>
          </w:tcPr>
          <w:p w:rsidR="00943A9C" w:rsidRPr="009B209A" w:rsidRDefault="00943A9C" w:rsidP="000672B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9B209A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1. Обеспечение жильем граждан, состоящих на учете для его получения на условиях социального найма, а также формирование маневренного жилищного фонда.</w:t>
            </w:r>
          </w:p>
          <w:p w:rsidR="00943A9C" w:rsidRPr="009B209A" w:rsidRDefault="00943A9C" w:rsidP="00067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9B209A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2. Улучшение жилищных условий ветеранов боевых действий, инвалидов и семей, имеющих детей-инвалидов, вставших на учет в качестве нуждающихся в жилых помещениях до 1 января 2005 года, посредством предоставления субсидий за счет субвенций из федерального бюджета на приобретение жилых помещений в собственность</w:t>
            </w:r>
          </w:p>
        </w:tc>
      </w:tr>
      <w:tr w:rsidR="00943A9C" w:rsidRPr="009B209A" w:rsidTr="000672BB">
        <w:tc>
          <w:tcPr>
            <w:tcW w:w="505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48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hAnsi="Times New Roman" w:cs="Times New Roman"/>
                <w:sz w:val="24"/>
                <w:szCs w:val="24"/>
              </w:rPr>
              <w:t xml:space="preserve">Портфели проектов, проекты автономного округа, реализуемые через </w:t>
            </w:r>
            <w:r w:rsidRPr="009B20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муниципальную программу, в том числе направленные на реализацию национальных проектов (программ) Российской Федерации, параметры их финансового обеспечения  </w:t>
            </w:r>
          </w:p>
        </w:tc>
        <w:tc>
          <w:tcPr>
            <w:tcW w:w="5903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943A9C" w:rsidRPr="009B209A" w:rsidTr="000672BB">
        <w:tc>
          <w:tcPr>
            <w:tcW w:w="505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48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муниципальной программы </w:t>
            </w:r>
          </w:p>
        </w:tc>
        <w:tc>
          <w:tcPr>
            <w:tcW w:w="5903" w:type="dxa"/>
          </w:tcPr>
          <w:p w:rsidR="00943A9C" w:rsidRPr="009B209A" w:rsidRDefault="00943A9C" w:rsidP="000672B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9B209A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1. </w:t>
            </w:r>
            <w:proofErr w:type="gramStart"/>
            <w:r w:rsidRPr="009B209A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Увеличение доли населения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с 0 до 34,5 процентов.</w:t>
            </w:r>
            <w:proofErr w:type="gramEnd"/>
          </w:p>
          <w:p w:rsidR="00943A9C" w:rsidRPr="009B209A" w:rsidRDefault="00943A9C" w:rsidP="00067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9B209A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2. Увеличение количества ветеранов боевых действий, инвалидов и семей, имеющих детей-инвалидов, вставших на учет в качестве нуждающихся в жилых помещениях до 1 января 2005 года и улучшивших жилищные условия, посредством предоставления субсидий за счет субвенций из федерального бюджета на приобретение жилых помещений в собственность с 0 до 3 человек.</w:t>
            </w:r>
          </w:p>
        </w:tc>
      </w:tr>
      <w:tr w:rsidR="00943A9C" w:rsidRPr="009B209A" w:rsidTr="000672BB">
        <w:tc>
          <w:tcPr>
            <w:tcW w:w="505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48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5903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2019 – 2025 годы и на период до 2030 года</w:t>
            </w:r>
          </w:p>
        </w:tc>
      </w:tr>
      <w:tr w:rsidR="00943A9C" w:rsidRPr="009B209A" w:rsidTr="000672BB">
        <w:tc>
          <w:tcPr>
            <w:tcW w:w="505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48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903" w:type="dxa"/>
          </w:tcPr>
          <w:p w:rsidR="00943A9C" w:rsidRPr="009B209A" w:rsidRDefault="00943A9C" w:rsidP="000672B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9B209A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Общий объем финансирования муниципальной программы - 260 448 154,34 рублей, в том числе по годам:</w:t>
            </w:r>
          </w:p>
          <w:p w:rsidR="00943A9C" w:rsidRPr="009B209A" w:rsidRDefault="00943A9C" w:rsidP="000672B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9B209A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2019 год - 149 822 501,70 рублей;</w:t>
            </w:r>
          </w:p>
          <w:p w:rsidR="00943A9C" w:rsidRPr="009B209A" w:rsidRDefault="00943A9C" w:rsidP="000672B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9B209A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2020 год - 33 439 263,16 рублей;</w:t>
            </w:r>
          </w:p>
          <w:p w:rsidR="00943A9C" w:rsidRPr="009B209A" w:rsidRDefault="00943A9C" w:rsidP="000672B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9B209A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2021 год - 26 265 157,89 рублей;</w:t>
            </w:r>
          </w:p>
          <w:p w:rsidR="00943A9C" w:rsidRPr="009B209A" w:rsidRDefault="00943A9C" w:rsidP="000672B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9B209A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2022 год - 25 676 000,00 рублей;</w:t>
            </w:r>
          </w:p>
          <w:p w:rsidR="00943A9C" w:rsidRPr="009B209A" w:rsidRDefault="00943A9C" w:rsidP="000672B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9B209A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2023 год - 16 529 789,47 рублей;</w:t>
            </w:r>
          </w:p>
          <w:p w:rsidR="00943A9C" w:rsidRPr="009B209A" w:rsidRDefault="00943A9C" w:rsidP="000672B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9B209A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2024 год - 1 245 063,16 рублей;</w:t>
            </w:r>
          </w:p>
          <w:p w:rsidR="00943A9C" w:rsidRPr="009B209A" w:rsidRDefault="00943A9C" w:rsidP="000672B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9B209A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2025 год - 1 245 063,16 рублей;</w:t>
            </w:r>
          </w:p>
          <w:p w:rsidR="00943A9C" w:rsidRPr="009B209A" w:rsidRDefault="00943A9C" w:rsidP="000672B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9B209A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2026 год - 1 245 063,16 рублей;</w:t>
            </w:r>
          </w:p>
          <w:p w:rsidR="00943A9C" w:rsidRPr="009B209A" w:rsidRDefault="00943A9C" w:rsidP="000672B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9B209A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2027 год - 1 245 063,16 рублей;</w:t>
            </w:r>
          </w:p>
          <w:p w:rsidR="00943A9C" w:rsidRPr="009B209A" w:rsidRDefault="00943A9C" w:rsidP="000672B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9B209A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2028 год - 1 245 063,16 рублей;</w:t>
            </w:r>
          </w:p>
          <w:p w:rsidR="00943A9C" w:rsidRPr="009B209A" w:rsidRDefault="00943A9C" w:rsidP="000672B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9B209A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2029 год - 1 245 063,16 рублей;</w:t>
            </w:r>
          </w:p>
          <w:p w:rsidR="00943A9C" w:rsidRPr="009B209A" w:rsidRDefault="00943A9C" w:rsidP="000672B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9B209A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2030 год - 1 245 063,16 рублей.</w:t>
            </w:r>
          </w:p>
        </w:tc>
      </w:tr>
      <w:tr w:rsidR="00943A9C" w:rsidRPr="009B209A" w:rsidTr="000672BB">
        <w:trPr>
          <w:trHeight w:val="1363"/>
        </w:trPr>
        <w:tc>
          <w:tcPr>
            <w:tcW w:w="505" w:type="dxa"/>
          </w:tcPr>
          <w:p w:rsidR="00943A9C" w:rsidRPr="009B209A" w:rsidRDefault="00943A9C" w:rsidP="000672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9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48" w:type="dxa"/>
          </w:tcPr>
          <w:p w:rsidR="00943A9C" w:rsidRPr="009B209A" w:rsidRDefault="00943A9C" w:rsidP="000672BB">
            <w:pPr>
              <w:autoSpaceDE w:val="0"/>
              <w:autoSpaceDN w:val="0"/>
              <w:adjustRightInd w:val="0"/>
              <w:ind w:left="30" w:right="30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9B209A">
              <w:rPr>
                <w:rFonts w:ascii="Times New Roman" w:eastAsia="Times New Roman" w:hAnsi="Times New Roman"/>
                <w:sz w:val="24"/>
                <w:lang w:eastAsia="ru-RU"/>
              </w:rPr>
              <w:t>Направление Стратегии социально-экономического развития города Покачи до 2030 года</w:t>
            </w:r>
          </w:p>
        </w:tc>
        <w:tc>
          <w:tcPr>
            <w:tcW w:w="5903" w:type="dxa"/>
          </w:tcPr>
          <w:p w:rsidR="00943A9C" w:rsidRPr="009B209A" w:rsidRDefault="00943A9C" w:rsidP="000672B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kern w:val="0"/>
                <w:sz w:val="24"/>
                <w:lang w:eastAsia="ru-RU"/>
              </w:rPr>
            </w:pPr>
            <w:r w:rsidRPr="009B209A">
              <w:rPr>
                <w:rFonts w:ascii="Times New Roman" w:eastAsia="Calibri" w:hAnsi="Times New Roman"/>
                <w:kern w:val="0"/>
                <w:sz w:val="24"/>
                <w:lang w:eastAsia="ru-RU"/>
              </w:rPr>
              <w:t>Обеспечение населения города благоустроенным жильем и повышение инфраструктурной обеспеченности (подпункт 4, 5 части 1 статьи 16)</w:t>
            </w:r>
          </w:p>
          <w:p w:rsidR="00943A9C" w:rsidRPr="009B209A" w:rsidRDefault="00943A9C" w:rsidP="000672BB">
            <w:pPr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</w:tr>
    </w:tbl>
    <w:p w:rsidR="00E04D13" w:rsidRPr="009B209A" w:rsidRDefault="00E04D13">
      <w:pPr>
        <w:rPr>
          <w:rFonts w:ascii="Times New Roman" w:hAnsi="Times New Roman"/>
          <w:sz w:val="24"/>
        </w:rPr>
      </w:pPr>
    </w:p>
    <w:sectPr w:rsidR="00E04D13" w:rsidRPr="009B209A" w:rsidSect="000672BB">
      <w:headerReference w:type="default" r:id="rId6"/>
      <w:pgSz w:w="11906" w:h="16838"/>
      <w:pgMar w:top="426" w:right="850" w:bottom="1134" w:left="851" w:header="283" w:footer="0" w:gutter="0"/>
      <w:pgNumType w:start="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2BB" w:rsidRDefault="000672BB" w:rsidP="000672BB">
      <w:r>
        <w:separator/>
      </w:r>
    </w:p>
  </w:endnote>
  <w:endnote w:type="continuationSeparator" w:id="0">
    <w:p w:rsidR="000672BB" w:rsidRDefault="000672BB" w:rsidP="000672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2BB" w:rsidRDefault="000672BB" w:rsidP="000672BB">
      <w:r>
        <w:separator/>
      </w:r>
    </w:p>
  </w:footnote>
  <w:footnote w:type="continuationSeparator" w:id="0">
    <w:p w:rsidR="000672BB" w:rsidRDefault="000672BB" w:rsidP="000672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88189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0672BB" w:rsidRPr="000672BB" w:rsidRDefault="000672BB" w:rsidP="000672BB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0672BB">
          <w:rPr>
            <w:rFonts w:ascii="Times New Roman" w:hAnsi="Times New Roman"/>
            <w:sz w:val="22"/>
            <w:szCs w:val="22"/>
          </w:rPr>
          <w:fldChar w:fldCharType="begin"/>
        </w:r>
        <w:r w:rsidRPr="000672BB">
          <w:rPr>
            <w:rFonts w:ascii="Times New Roman" w:hAnsi="Times New Roman"/>
            <w:sz w:val="22"/>
            <w:szCs w:val="22"/>
          </w:rPr>
          <w:instrText xml:space="preserve"> PAGE   \* MERGEFORMAT </w:instrText>
        </w:r>
        <w:r w:rsidRPr="000672BB">
          <w:rPr>
            <w:rFonts w:ascii="Times New Roman" w:hAnsi="Times New Roman"/>
            <w:sz w:val="22"/>
            <w:szCs w:val="22"/>
          </w:rPr>
          <w:fldChar w:fldCharType="separate"/>
        </w:r>
        <w:r>
          <w:rPr>
            <w:rFonts w:ascii="Times New Roman" w:hAnsi="Times New Roman"/>
            <w:noProof/>
            <w:sz w:val="22"/>
            <w:szCs w:val="22"/>
          </w:rPr>
          <w:t>18</w:t>
        </w:r>
        <w:r w:rsidRPr="000672BB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3A9C"/>
    <w:rsid w:val="000672BB"/>
    <w:rsid w:val="002331C6"/>
    <w:rsid w:val="00943A9C"/>
    <w:rsid w:val="009B209A"/>
    <w:rsid w:val="00E04D13"/>
    <w:rsid w:val="00FE0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A9C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qFormat/>
    <w:rsid w:val="00943A9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ru-RU" w:bidi="ru-RU"/>
    </w:rPr>
  </w:style>
  <w:style w:type="character" w:customStyle="1" w:styleId="ConsPlusNormal0">
    <w:name w:val="ConsPlusNormal Знак"/>
    <w:link w:val="ConsPlusNormal"/>
    <w:locked/>
    <w:rsid w:val="00943A9C"/>
    <w:rPr>
      <w:rFonts w:ascii="Arial" w:eastAsia="Arial" w:hAnsi="Arial" w:cs="Arial"/>
      <w:kern w:val="1"/>
      <w:sz w:val="20"/>
      <w:szCs w:val="20"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0672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72BB"/>
    <w:rPr>
      <w:rFonts w:ascii="Arial" w:eastAsia="Lucida Sans Unicode" w:hAnsi="Arial" w:cs="Times New Roman"/>
      <w:kern w:val="1"/>
      <w:sz w:val="20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0672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672BB"/>
    <w:rPr>
      <w:rFonts w:ascii="Arial" w:eastAsia="Lucida Sans Unicode" w:hAnsi="Arial" w:cs="Times New Roman"/>
      <w:kern w:val="1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A9C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qFormat/>
    <w:rsid w:val="00943A9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ru-RU" w:bidi="ru-RU"/>
    </w:rPr>
  </w:style>
  <w:style w:type="character" w:customStyle="1" w:styleId="ConsPlusNormal0">
    <w:name w:val="ConsPlusNormal Знак"/>
    <w:link w:val="ConsPlusNormal"/>
    <w:locked/>
    <w:rsid w:val="00943A9C"/>
    <w:rPr>
      <w:rFonts w:ascii="Arial" w:eastAsia="Arial" w:hAnsi="Arial" w:cs="Arial"/>
      <w:kern w:val="1"/>
      <w:sz w:val="20"/>
      <w:szCs w:val="20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536</Words>
  <Characters>3057</Characters>
  <Application>Microsoft Office Word</Application>
  <DocSecurity>0</DocSecurity>
  <Lines>25</Lines>
  <Paragraphs>7</Paragraphs>
  <ScaleCrop>false</ScaleCrop>
  <Company/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Носов Анатолий Анатольевич</dc:creator>
  <cp:lastModifiedBy>Finansist-02</cp:lastModifiedBy>
  <cp:revision>4</cp:revision>
  <dcterms:created xsi:type="dcterms:W3CDTF">2020-10-29T06:08:00Z</dcterms:created>
  <dcterms:modified xsi:type="dcterms:W3CDTF">2020-11-02T12:45:00Z</dcterms:modified>
</cp:coreProperties>
</file>