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71" w:rsidRPr="0053501B" w:rsidRDefault="005B4471" w:rsidP="000B713B">
      <w:pPr>
        <w:suppressAutoHyphens/>
        <w:spacing w:after="0" w:line="240" w:lineRule="auto"/>
        <w:ind w:left="540" w:hanging="54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53501B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:rsidR="001F6734" w:rsidRDefault="005B4471" w:rsidP="005B44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к прогнозу социально-экономического развития город</w:t>
      </w:r>
      <w:r w:rsidR="001F6734">
        <w:rPr>
          <w:rFonts w:ascii="Times New Roman" w:hAnsi="Times New Roman" w:cs="Times New Roman"/>
          <w:sz w:val="28"/>
          <w:szCs w:val="28"/>
        </w:rPr>
        <w:t>а</w:t>
      </w:r>
      <w:r w:rsidRPr="0053501B">
        <w:rPr>
          <w:rFonts w:ascii="Times New Roman" w:hAnsi="Times New Roman" w:cs="Times New Roman"/>
          <w:sz w:val="28"/>
          <w:szCs w:val="28"/>
        </w:rPr>
        <w:t xml:space="preserve"> Покачи </w:t>
      </w:r>
    </w:p>
    <w:p w:rsidR="005B4471" w:rsidRPr="0053501B" w:rsidRDefault="005B4471" w:rsidP="005B44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на 2021 год и на плановый период до 2023 года</w:t>
      </w:r>
    </w:p>
    <w:p w:rsidR="005B4471" w:rsidRPr="0053501B" w:rsidRDefault="005B4471" w:rsidP="005B447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B4471" w:rsidRPr="0053501B" w:rsidRDefault="005B4471" w:rsidP="005B44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город</w:t>
      </w:r>
      <w:r w:rsidR="00EE0F0C">
        <w:rPr>
          <w:rFonts w:ascii="Times New Roman" w:hAnsi="Times New Roman" w:cs="Times New Roman"/>
          <w:sz w:val="28"/>
          <w:szCs w:val="28"/>
        </w:rPr>
        <w:t>а</w:t>
      </w:r>
      <w:r w:rsidRPr="0053501B">
        <w:rPr>
          <w:rFonts w:ascii="Times New Roman" w:hAnsi="Times New Roman" w:cs="Times New Roman"/>
          <w:sz w:val="28"/>
          <w:szCs w:val="28"/>
        </w:rPr>
        <w:t xml:space="preserve"> Покачи на 2021 год и на плановый период до 2023 года разработан</w:t>
      </w:r>
      <w:r w:rsidRPr="00535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501B">
        <w:rPr>
          <w:rFonts w:ascii="Times New Roman" w:hAnsi="Times New Roman" w:cs="Times New Roman"/>
          <w:sz w:val="28"/>
          <w:szCs w:val="28"/>
        </w:rPr>
        <w:t>в соответствии со статьей 173 Бюджетного кодекса Российской Федерации, порядком разработки, корректировки, утверждения (одобрения) и осуществления мониторинга прогноза социально-экономического развития Ханты-Мансийского автономного округа - Югры на среднесрочный период, утвержденным постановлением Правительства ХМАО - Югры от 25.12.2015 № 487-п, порядком разработки, рассмотрения и одобрения прогноза социально-экономического развития города Покачи, утвержденным постановлением администрации города Покачи от 22.11.2019 №1051.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Расчет показателей прогноза </w:t>
      </w:r>
      <w:r w:rsidR="00DA20C7">
        <w:rPr>
          <w:rFonts w:ascii="Times New Roman" w:hAnsi="Times New Roman" w:cs="Times New Roman"/>
          <w:sz w:val="28"/>
          <w:szCs w:val="28"/>
        </w:rPr>
        <w:t>социально-</w:t>
      </w:r>
      <w:r w:rsidR="00785AE0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Pr="0053501B">
        <w:rPr>
          <w:rFonts w:ascii="Times New Roman" w:hAnsi="Times New Roman" w:cs="Times New Roman"/>
          <w:sz w:val="28"/>
          <w:szCs w:val="28"/>
        </w:rPr>
        <w:t>город</w:t>
      </w:r>
      <w:r w:rsidR="00785AE0">
        <w:rPr>
          <w:rFonts w:ascii="Times New Roman" w:hAnsi="Times New Roman" w:cs="Times New Roman"/>
          <w:sz w:val="28"/>
          <w:szCs w:val="28"/>
        </w:rPr>
        <w:t>а</w:t>
      </w:r>
      <w:r w:rsidRPr="0053501B">
        <w:rPr>
          <w:rFonts w:ascii="Times New Roman" w:hAnsi="Times New Roman" w:cs="Times New Roman"/>
          <w:sz w:val="28"/>
          <w:szCs w:val="28"/>
        </w:rPr>
        <w:t xml:space="preserve"> Покачи выполнен по 2-м вариантам: 1 вариант – консервативный, 2 вариант – базовый, а также, на основе анализа сложившейся ситуации в экономике города, тенденций ее развития.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Базовый вариант показателей прогноза социально-экономического развития город</w:t>
      </w:r>
      <w:r w:rsidR="00785AE0">
        <w:rPr>
          <w:rFonts w:ascii="Times New Roman" w:hAnsi="Times New Roman" w:cs="Times New Roman"/>
          <w:sz w:val="28"/>
          <w:szCs w:val="28"/>
        </w:rPr>
        <w:t>а</w:t>
      </w:r>
      <w:r w:rsidRPr="0053501B">
        <w:rPr>
          <w:rFonts w:ascii="Times New Roman" w:hAnsi="Times New Roman" w:cs="Times New Roman"/>
          <w:sz w:val="28"/>
          <w:szCs w:val="28"/>
        </w:rPr>
        <w:t xml:space="preserve"> По</w:t>
      </w:r>
      <w:r w:rsidR="00A66072">
        <w:rPr>
          <w:rFonts w:ascii="Times New Roman" w:hAnsi="Times New Roman" w:cs="Times New Roman"/>
          <w:sz w:val="28"/>
          <w:szCs w:val="28"/>
        </w:rPr>
        <w:t xml:space="preserve">качи на 2021 год и на плановый </w:t>
      </w:r>
      <w:r w:rsidRPr="0053501B">
        <w:rPr>
          <w:rFonts w:ascii="Times New Roman" w:hAnsi="Times New Roman" w:cs="Times New Roman"/>
          <w:sz w:val="28"/>
          <w:szCs w:val="28"/>
        </w:rPr>
        <w:t>период до 2023 года рассматривается как основной для разработки проекта бюджета города Покачи на очередной финансовый год и на плановый период и проекта Бюджетного прогноза города Покачи.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4471" w:rsidRPr="0053501B" w:rsidRDefault="005B4471" w:rsidP="005B44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Общая оценка социально-экономической ситуации</w:t>
      </w:r>
    </w:p>
    <w:p w:rsidR="005B4471" w:rsidRPr="0053501B" w:rsidRDefault="00DA20C7" w:rsidP="005B44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B4471" w:rsidRPr="0053501B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B4471" w:rsidRPr="0053501B">
        <w:rPr>
          <w:rFonts w:ascii="Times New Roman" w:hAnsi="Times New Roman" w:cs="Times New Roman"/>
          <w:sz w:val="28"/>
          <w:szCs w:val="28"/>
        </w:rPr>
        <w:t xml:space="preserve"> Покачи за отчетный период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В течение 2019 год администрацией города Покачи обеспечена реализация ключевых направлений бюджетной и налоговой политики, содействие социальному и экономическому развитию, обеспечение устойчивости бюджетной системы города, повышение уровня и качества жизни населения города Покачи.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Среднегодовая численность населения города Покачи в 2019 году увеличилась по сравнению с 2018 годом на 0,6% и составила 18,03 тыс. человек.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Денежные доходы на душу населения в 2019 году составили 35112,13 рублей, увеличившись на 2% к периоду 2018 года, при этом реальные располагаемые денежные доходы населения (скорректированные на уровень инфляции) составили 97,79%.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Среднемесячная начисленная заработная плата по крупным и средним предприятиям города за 2019 год составила 68 460,8 рублей или 106,9% к периоду 2018 года. 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На фоне сложившейся экономической ситуации уровень регистрируемой безработицы в 2019 году</w:t>
      </w:r>
      <w:r w:rsidR="00146E31" w:rsidRPr="0053501B">
        <w:rPr>
          <w:rFonts w:ascii="Times New Roman" w:hAnsi="Times New Roman" w:cs="Times New Roman"/>
          <w:sz w:val="28"/>
          <w:szCs w:val="28"/>
        </w:rPr>
        <w:t xml:space="preserve"> составил 0,6% (в </w:t>
      </w:r>
      <w:r w:rsidRPr="0053501B">
        <w:rPr>
          <w:rFonts w:ascii="Times New Roman" w:hAnsi="Times New Roman" w:cs="Times New Roman"/>
          <w:sz w:val="28"/>
          <w:szCs w:val="28"/>
        </w:rPr>
        <w:t xml:space="preserve">2018 </w:t>
      </w:r>
      <w:r w:rsidR="00146E31" w:rsidRPr="0053501B">
        <w:rPr>
          <w:rFonts w:ascii="Times New Roman" w:hAnsi="Times New Roman" w:cs="Times New Roman"/>
          <w:sz w:val="28"/>
          <w:szCs w:val="28"/>
        </w:rPr>
        <w:t>году – 0,72%).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В связи с введенным режимом повышенной готовности на территории ХМАО-Югры, связанной с распространением новой коронавирусной инфекции, вызванной </w:t>
      </w:r>
      <w:r w:rsidRPr="0053501B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53501B">
        <w:rPr>
          <w:rFonts w:ascii="Times New Roman" w:hAnsi="Times New Roman" w:cs="Times New Roman"/>
          <w:sz w:val="28"/>
          <w:szCs w:val="28"/>
        </w:rPr>
        <w:t xml:space="preserve">-19, по оценке 2020 года ожидается увеличение общей численности безработных граждан в 3,5 раза, что </w:t>
      </w:r>
      <w:r w:rsidR="005D2CCA" w:rsidRPr="0053501B">
        <w:rPr>
          <w:rFonts w:ascii="Times New Roman" w:hAnsi="Times New Roman" w:cs="Times New Roman"/>
          <w:sz w:val="28"/>
          <w:szCs w:val="28"/>
        </w:rPr>
        <w:t xml:space="preserve">предварительно </w:t>
      </w:r>
      <w:r w:rsidRPr="0053501B">
        <w:rPr>
          <w:rFonts w:ascii="Times New Roman" w:hAnsi="Times New Roman" w:cs="Times New Roman"/>
          <w:sz w:val="28"/>
          <w:szCs w:val="28"/>
        </w:rPr>
        <w:t xml:space="preserve">составит 196 человек в базовом варианте, к 2021 году – 143 человека в базовом варианте. </w:t>
      </w:r>
      <w:r w:rsidRPr="0053501B">
        <w:rPr>
          <w:rFonts w:ascii="Times New Roman" w:hAnsi="Times New Roman" w:cs="Times New Roman"/>
          <w:sz w:val="28"/>
          <w:szCs w:val="28"/>
        </w:rPr>
        <w:lastRenderedPageBreak/>
        <w:t>Ожидается снижение денежных доходов на душу населения по оценке 2020 года на 2,3% и предварительно составит 34 312 рублей, в прогнозный период 2021 год – 34665 рублей в базовом варианте, 2023 год – 36408,7 рублей в базовом варианте.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В 2019 году введено в эксплуатацию 19 объектов жилищного строительства, общей площадью жилых помещений 4812 кв.м., (общая площадь – 5220 кв.м.), в том числе: 18 индивидуальных жилых домов, общей площадью жилых помещений 1764,5 кв.м.; 1 многоквартирный жилой дом, общей площадью жилых помещений 3047,5 кв.м.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В 2019 году отмечалась стабильная работа предприятий жилищно-коммунального комплекса. Своевременная и качественная подготовка к осенне-зимнему периоду 2019-2020 годов обеспечила надежное и безаварийное тепло-, водо- и электроснабжение потребителей города в зимний период.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По соглашению о социальном партнерстве между Правительством округа и компанией «ЛУКОЙЛ», в городе Покачи продолжается строительство нового спортивного комплекса в рамках программы «Комплексное развитие социальной инфраструктуры города Покачи на 2018-2028 годы», утвержденной постановлением администрации города Покачи от 31.10.2017 № 1213. </w:t>
      </w:r>
    </w:p>
    <w:p w:rsidR="005B4471" w:rsidRPr="0053501B" w:rsidRDefault="005B4471" w:rsidP="008B5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В прогнозный </w:t>
      </w:r>
      <w:r w:rsidRPr="00C84E1A">
        <w:rPr>
          <w:rFonts w:ascii="Times New Roman" w:hAnsi="Times New Roman" w:cs="Times New Roman"/>
          <w:sz w:val="28"/>
          <w:szCs w:val="28"/>
        </w:rPr>
        <w:t>период запланировано благоустройство</w:t>
      </w:r>
      <w:r w:rsidR="00E043E6" w:rsidRPr="00C84E1A">
        <w:rPr>
          <w:rFonts w:ascii="Times New Roman" w:hAnsi="Times New Roman" w:cs="Times New Roman"/>
          <w:sz w:val="28"/>
          <w:szCs w:val="28"/>
        </w:rPr>
        <w:t xml:space="preserve"> следующих общественных объектов:</w:t>
      </w:r>
      <w:r w:rsidRPr="00C84E1A">
        <w:rPr>
          <w:rFonts w:ascii="Times New Roman" w:hAnsi="Times New Roman" w:cs="Times New Roman"/>
          <w:sz w:val="28"/>
          <w:szCs w:val="28"/>
        </w:rPr>
        <w:t xml:space="preserve"> </w:t>
      </w:r>
      <w:r w:rsidR="00E043E6" w:rsidRPr="00C84E1A">
        <w:rPr>
          <w:rFonts w:ascii="Times New Roman" w:hAnsi="Times New Roman" w:cs="Times New Roman"/>
          <w:sz w:val="28"/>
          <w:szCs w:val="28"/>
        </w:rPr>
        <w:t xml:space="preserve"> </w:t>
      </w:r>
      <w:r w:rsidR="008B5268" w:rsidRPr="00C84E1A">
        <w:rPr>
          <w:rFonts w:ascii="Times New Roman" w:hAnsi="Times New Roman" w:cs="Times New Roman"/>
          <w:sz w:val="28"/>
          <w:szCs w:val="28"/>
        </w:rPr>
        <w:t>«</w:t>
      </w:r>
      <w:r w:rsidR="002F1739" w:rsidRPr="00C84E1A">
        <w:rPr>
          <w:rFonts w:ascii="Times New Roman" w:hAnsi="Times New Roman" w:cs="Times New Roman"/>
          <w:sz w:val="28"/>
          <w:szCs w:val="28"/>
        </w:rPr>
        <w:t>Сквер</w:t>
      </w:r>
      <w:r w:rsidR="008B5268" w:rsidRPr="00C84E1A">
        <w:rPr>
          <w:rFonts w:ascii="Times New Roman" w:hAnsi="Times New Roman" w:cs="Times New Roman"/>
          <w:sz w:val="28"/>
          <w:szCs w:val="28"/>
        </w:rPr>
        <w:t>»</w:t>
      </w:r>
      <w:r w:rsidR="002F1739" w:rsidRPr="00C84E1A">
        <w:rPr>
          <w:rFonts w:ascii="Times New Roman" w:hAnsi="Times New Roman" w:cs="Times New Roman"/>
          <w:sz w:val="28"/>
          <w:szCs w:val="28"/>
        </w:rPr>
        <w:t xml:space="preserve"> III очередь</w:t>
      </w:r>
      <w:r w:rsidR="007411D1" w:rsidRPr="00C84E1A">
        <w:rPr>
          <w:rFonts w:ascii="Times New Roman" w:hAnsi="Times New Roman" w:cs="Times New Roman"/>
          <w:sz w:val="28"/>
          <w:szCs w:val="28"/>
        </w:rPr>
        <w:t xml:space="preserve"> </w:t>
      </w:r>
      <w:r w:rsidR="0070536F" w:rsidRPr="00C84E1A">
        <w:rPr>
          <w:rFonts w:ascii="Times New Roman" w:hAnsi="Times New Roman" w:cs="Times New Roman"/>
          <w:sz w:val="24"/>
          <w:szCs w:val="28"/>
        </w:rPr>
        <w:t>(</w:t>
      </w:r>
      <w:r w:rsidR="008B5268" w:rsidRPr="00C84E1A">
        <w:rPr>
          <w:rFonts w:ascii="Times New Roman" w:hAnsi="Times New Roman" w:cs="Times New Roman"/>
          <w:sz w:val="28"/>
          <w:szCs w:val="28"/>
        </w:rPr>
        <w:t>на 2022 год</w:t>
      </w:r>
      <w:r w:rsidR="0070536F" w:rsidRPr="00C84E1A">
        <w:rPr>
          <w:rFonts w:ascii="Times New Roman" w:hAnsi="Times New Roman" w:cs="Times New Roman"/>
          <w:sz w:val="28"/>
          <w:szCs w:val="28"/>
        </w:rPr>
        <w:t>)</w:t>
      </w:r>
      <w:r w:rsidRPr="00C84E1A">
        <w:rPr>
          <w:rFonts w:ascii="Times New Roman" w:hAnsi="Times New Roman" w:cs="Times New Roman"/>
          <w:sz w:val="28"/>
          <w:szCs w:val="28"/>
        </w:rPr>
        <w:t>,</w:t>
      </w:r>
      <w:r w:rsidR="002F1739" w:rsidRPr="00C84E1A">
        <w:t xml:space="preserve"> </w:t>
      </w:r>
      <w:r w:rsidR="008B5268" w:rsidRPr="00C84E1A">
        <w:rPr>
          <w:rFonts w:ascii="Times New Roman" w:hAnsi="Times New Roman" w:cs="Times New Roman"/>
          <w:sz w:val="28"/>
          <w:szCs w:val="28"/>
        </w:rPr>
        <w:t>«Сквер»</w:t>
      </w:r>
      <w:r w:rsidR="002F1739" w:rsidRPr="00C84E1A">
        <w:rPr>
          <w:rFonts w:ascii="Times New Roman" w:hAnsi="Times New Roman" w:cs="Times New Roman"/>
          <w:sz w:val="28"/>
          <w:szCs w:val="28"/>
        </w:rPr>
        <w:t xml:space="preserve"> I</w:t>
      </w:r>
      <w:r w:rsidR="002F1739" w:rsidRPr="00C84E1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F1739" w:rsidRPr="00C84E1A">
        <w:rPr>
          <w:rFonts w:ascii="Times New Roman" w:hAnsi="Times New Roman" w:cs="Times New Roman"/>
          <w:sz w:val="28"/>
          <w:szCs w:val="28"/>
        </w:rPr>
        <w:t xml:space="preserve"> очередь</w:t>
      </w:r>
      <w:r w:rsidR="007411D1" w:rsidRPr="00C84E1A">
        <w:rPr>
          <w:rFonts w:ascii="Times New Roman" w:hAnsi="Times New Roman" w:cs="Times New Roman"/>
          <w:sz w:val="28"/>
          <w:szCs w:val="28"/>
        </w:rPr>
        <w:t xml:space="preserve"> </w:t>
      </w:r>
      <w:r w:rsidR="0070536F" w:rsidRPr="00C84E1A">
        <w:rPr>
          <w:rFonts w:ascii="Times New Roman" w:hAnsi="Times New Roman" w:cs="Times New Roman"/>
          <w:sz w:val="28"/>
          <w:szCs w:val="28"/>
        </w:rPr>
        <w:t>(</w:t>
      </w:r>
      <w:r w:rsidR="008B5268" w:rsidRPr="00C84E1A">
        <w:rPr>
          <w:rFonts w:ascii="Times New Roman" w:hAnsi="Times New Roman" w:cs="Times New Roman"/>
          <w:sz w:val="28"/>
          <w:szCs w:val="28"/>
        </w:rPr>
        <w:t>на 2023 год</w:t>
      </w:r>
      <w:r w:rsidR="0070536F" w:rsidRPr="00C84E1A">
        <w:rPr>
          <w:rFonts w:ascii="Times New Roman" w:hAnsi="Times New Roman" w:cs="Times New Roman"/>
          <w:sz w:val="28"/>
          <w:szCs w:val="28"/>
        </w:rPr>
        <w:t>)</w:t>
      </w:r>
      <w:r w:rsidR="002F1739" w:rsidRPr="00C84E1A">
        <w:rPr>
          <w:rFonts w:ascii="Times New Roman" w:hAnsi="Times New Roman" w:cs="Times New Roman"/>
          <w:sz w:val="28"/>
          <w:szCs w:val="28"/>
        </w:rPr>
        <w:t>,</w:t>
      </w:r>
      <w:r w:rsidRPr="00C84E1A">
        <w:rPr>
          <w:rFonts w:ascii="Times New Roman" w:hAnsi="Times New Roman" w:cs="Times New Roman"/>
          <w:sz w:val="28"/>
          <w:szCs w:val="28"/>
        </w:rPr>
        <w:t xml:space="preserve"> </w:t>
      </w:r>
      <w:r w:rsidR="004F1490" w:rsidRPr="00C84E1A">
        <w:rPr>
          <w:rFonts w:ascii="Times New Roman" w:hAnsi="Times New Roman" w:cs="Times New Roman"/>
          <w:sz w:val="28"/>
          <w:szCs w:val="28"/>
        </w:rPr>
        <w:t xml:space="preserve">благоустройство площади у МАУ </w:t>
      </w:r>
      <w:r w:rsidR="00230F3E" w:rsidRPr="00C84E1A">
        <w:rPr>
          <w:rFonts w:ascii="Times New Roman" w:hAnsi="Times New Roman" w:cs="Times New Roman"/>
          <w:sz w:val="28"/>
          <w:szCs w:val="28"/>
        </w:rPr>
        <w:t xml:space="preserve">ДК «Октябрь», </w:t>
      </w:r>
      <w:r w:rsidR="007411D1" w:rsidRPr="00C84E1A">
        <w:rPr>
          <w:rFonts w:ascii="Times New Roman" w:hAnsi="Times New Roman" w:cs="Times New Roman"/>
          <w:sz w:val="28"/>
          <w:szCs w:val="28"/>
        </w:rPr>
        <w:t xml:space="preserve">благоустройство общественной территории на объекте </w:t>
      </w:r>
      <w:r w:rsidR="007411D1" w:rsidRPr="00C84E1A">
        <w:rPr>
          <w:rFonts w:ascii="Times New Roman" w:eastAsia="Calibri" w:hAnsi="Times New Roman" w:cs="Times New Roman"/>
          <w:sz w:val="28"/>
          <w:szCs w:val="28"/>
        </w:rPr>
        <w:t>Лыжная база по улице Комсомольская</w:t>
      </w:r>
      <w:r w:rsidR="00701082" w:rsidRPr="00C84E1A">
        <w:rPr>
          <w:rFonts w:ascii="Times New Roman" w:eastAsia="Calibri" w:hAnsi="Times New Roman" w:cs="Times New Roman"/>
          <w:sz w:val="28"/>
          <w:szCs w:val="28"/>
        </w:rPr>
        <w:t xml:space="preserve">, на котором планируется </w:t>
      </w:r>
      <w:r w:rsidR="00701082" w:rsidRPr="00C84E1A">
        <w:rPr>
          <w:rFonts w:ascii="Times New Roman" w:hAnsi="Times New Roman" w:cs="Times New Roman"/>
          <w:sz w:val="28"/>
          <w:szCs w:val="28"/>
        </w:rPr>
        <w:t>оборудование</w:t>
      </w:r>
      <w:r w:rsidRPr="00C84E1A">
        <w:rPr>
          <w:rFonts w:ascii="Times New Roman" w:hAnsi="Times New Roman" w:cs="Times New Roman"/>
          <w:sz w:val="28"/>
          <w:szCs w:val="28"/>
        </w:rPr>
        <w:t xml:space="preserve"> дорожки</w:t>
      </w:r>
      <w:r w:rsidR="00701082" w:rsidRPr="00C84E1A">
        <w:rPr>
          <w:rFonts w:ascii="Times New Roman" w:hAnsi="Times New Roman" w:cs="Times New Roman"/>
          <w:sz w:val="28"/>
          <w:szCs w:val="28"/>
        </w:rPr>
        <w:t xml:space="preserve"> для велосипедов и роликов, уличн</w:t>
      </w:r>
      <w:r w:rsidR="00E043E6" w:rsidRPr="00C84E1A">
        <w:rPr>
          <w:rFonts w:ascii="Times New Roman" w:hAnsi="Times New Roman" w:cs="Times New Roman"/>
          <w:sz w:val="28"/>
          <w:szCs w:val="28"/>
        </w:rPr>
        <w:t>ых</w:t>
      </w:r>
      <w:r w:rsidR="00701082" w:rsidRPr="00C84E1A">
        <w:rPr>
          <w:rFonts w:ascii="Times New Roman" w:hAnsi="Times New Roman" w:cs="Times New Roman"/>
          <w:sz w:val="28"/>
          <w:szCs w:val="28"/>
        </w:rPr>
        <w:t xml:space="preserve"> тренажёр</w:t>
      </w:r>
      <w:r w:rsidR="00E043E6" w:rsidRPr="00C84E1A">
        <w:rPr>
          <w:rFonts w:ascii="Times New Roman" w:hAnsi="Times New Roman" w:cs="Times New Roman"/>
          <w:sz w:val="28"/>
          <w:szCs w:val="28"/>
        </w:rPr>
        <w:t>ов, футбольного</w:t>
      </w:r>
      <w:r w:rsidR="00701082" w:rsidRPr="00C84E1A">
        <w:rPr>
          <w:rFonts w:ascii="Times New Roman" w:hAnsi="Times New Roman" w:cs="Times New Roman"/>
          <w:sz w:val="28"/>
          <w:szCs w:val="28"/>
        </w:rPr>
        <w:t xml:space="preserve"> пол</w:t>
      </w:r>
      <w:r w:rsidR="00E043E6" w:rsidRPr="00C84E1A">
        <w:rPr>
          <w:rFonts w:ascii="Times New Roman" w:hAnsi="Times New Roman" w:cs="Times New Roman"/>
          <w:sz w:val="28"/>
          <w:szCs w:val="28"/>
        </w:rPr>
        <w:t>я, детской игровой</w:t>
      </w:r>
      <w:r w:rsidR="00701082" w:rsidRPr="00C84E1A">
        <w:rPr>
          <w:rFonts w:ascii="Times New Roman" w:hAnsi="Times New Roman" w:cs="Times New Roman"/>
          <w:sz w:val="28"/>
          <w:szCs w:val="28"/>
        </w:rPr>
        <w:t xml:space="preserve"> площадк</w:t>
      </w:r>
      <w:r w:rsidR="00E043E6" w:rsidRPr="00C84E1A">
        <w:rPr>
          <w:rFonts w:ascii="Times New Roman" w:hAnsi="Times New Roman" w:cs="Times New Roman"/>
          <w:sz w:val="28"/>
          <w:szCs w:val="28"/>
        </w:rPr>
        <w:t>и</w:t>
      </w:r>
      <w:r w:rsidR="00701082" w:rsidRPr="00C84E1A">
        <w:rPr>
          <w:rFonts w:ascii="Times New Roman" w:hAnsi="Times New Roman" w:cs="Times New Roman"/>
          <w:sz w:val="28"/>
          <w:szCs w:val="28"/>
        </w:rPr>
        <w:t>, зон</w:t>
      </w:r>
      <w:r w:rsidR="00E043E6" w:rsidRPr="00C84E1A">
        <w:rPr>
          <w:rFonts w:ascii="Times New Roman" w:hAnsi="Times New Roman" w:cs="Times New Roman"/>
          <w:sz w:val="28"/>
          <w:szCs w:val="28"/>
        </w:rPr>
        <w:t>ы</w:t>
      </w:r>
      <w:r w:rsidR="00701082" w:rsidRPr="00C84E1A">
        <w:rPr>
          <w:rFonts w:ascii="Times New Roman" w:hAnsi="Times New Roman" w:cs="Times New Roman"/>
          <w:sz w:val="28"/>
          <w:szCs w:val="28"/>
        </w:rPr>
        <w:t xml:space="preserve"> для занятия скандина</w:t>
      </w:r>
      <w:r w:rsidR="00E043E6" w:rsidRPr="00C84E1A">
        <w:rPr>
          <w:rFonts w:ascii="Times New Roman" w:hAnsi="Times New Roman" w:cs="Times New Roman"/>
          <w:sz w:val="28"/>
          <w:szCs w:val="28"/>
        </w:rPr>
        <w:t>вской ходьбы, зоны отдыха детей</w:t>
      </w:r>
      <w:r w:rsidR="00230F3E" w:rsidRPr="00C84E1A">
        <w:rPr>
          <w:rFonts w:ascii="Times New Roman" w:hAnsi="Times New Roman" w:cs="Times New Roman"/>
          <w:sz w:val="28"/>
          <w:szCs w:val="28"/>
        </w:rPr>
        <w:t>.</w:t>
      </w:r>
    </w:p>
    <w:p w:rsidR="00992DA8" w:rsidRPr="0053501B" w:rsidRDefault="00992DA8" w:rsidP="008B5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="00123FC8" w:rsidRPr="0053501B">
        <w:rPr>
          <w:rFonts w:ascii="Times New Roman" w:hAnsi="Times New Roman" w:cs="Times New Roman"/>
          <w:sz w:val="28"/>
          <w:szCs w:val="28"/>
        </w:rPr>
        <w:t>п</w:t>
      </w:r>
      <w:r w:rsidR="00723687" w:rsidRPr="0053501B">
        <w:rPr>
          <w:rFonts w:ascii="Times New Roman" w:hAnsi="Times New Roman" w:cs="Times New Roman"/>
          <w:sz w:val="28"/>
          <w:szCs w:val="28"/>
        </w:rPr>
        <w:t>роект  «Теплый берег» по благоустройству  общественной территории «Озеро» по улице Молодежная стал победителем IV Всероссийского конкурса лучших проектов создания комфортной городской среды</w:t>
      </w:r>
      <w:r w:rsidR="004364C8" w:rsidRPr="0053501B">
        <w:rPr>
          <w:rFonts w:ascii="Times New Roman" w:hAnsi="Times New Roman" w:cs="Times New Roman"/>
          <w:sz w:val="28"/>
          <w:szCs w:val="28"/>
        </w:rPr>
        <w:t xml:space="preserve"> в кате</w:t>
      </w:r>
      <w:r w:rsidR="005D5FBF" w:rsidRPr="0053501B">
        <w:rPr>
          <w:rFonts w:ascii="Times New Roman" w:hAnsi="Times New Roman" w:cs="Times New Roman"/>
          <w:sz w:val="28"/>
          <w:szCs w:val="28"/>
        </w:rPr>
        <w:t>гории «малые города»</w:t>
      </w:r>
      <w:r w:rsidR="00723687" w:rsidRPr="0053501B">
        <w:rPr>
          <w:rFonts w:ascii="Times New Roman" w:hAnsi="Times New Roman" w:cs="Times New Roman"/>
          <w:sz w:val="28"/>
          <w:szCs w:val="28"/>
        </w:rPr>
        <w:t>.</w:t>
      </w:r>
      <w:r w:rsidR="002743C9" w:rsidRPr="0053501B">
        <w:rPr>
          <w:rFonts w:ascii="Times New Roman" w:hAnsi="Times New Roman" w:cs="Times New Roman"/>
          <w:sz w:val="28"/>
          <w:szCs w:val="28"/>
        </w:rPr>
        <w:t xml:space="preserve"> Реализация мероприятий по реализации</w:t>
      </w:r>
      <w:r w:rsidR="00123FC8" w:rsidRPr="0053501B">
        <w:rPr>
          <w:rFonts w:ascii="Times New Roman" w:hAnsi="Times New Roman" w:cs="Times New Roman"/>
          <w:sz w:val="28"/>
          <w:szCs w:val="28"/>
        </w:rPr>
        <w:t xml:space="preserve"> данного </w:t>
      </w:r>
      <w:r w:rsidR="002743C9" w:rsidRPr="0053501B">
        <w:rPr>
          <w:rFonts w:ascii="Times New Roman" w:hAnsi="Times New Roman" w:cs="Times New Roman"/>
          <w:sz w:val="28"/>
          <w:szCs w:val="28"/>
        </w:rPr>
        <w:t xml:space="preserve">проекта запланировано на 2021 год. </w:t>
      </w:r>
    </w:p>
    <w:p w:rsidR="00930577" w:rsidRPr="0053501B" w:rsidRDefault="00930577" w:rsidP="008B5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4471" w:rsidRPr="0053501B" w:rsidRDefault="005B4471" w:rsidP="005D5FB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1. </w:t>
      </w:r>
      <w:r w:rsidRPr="0053501B">
        <w:rPr>
          <w:rFonts w:ascii="Times New Roman" w:hAnsi="Times New Roman" w:cs="Times New Roman"/>
          <w:bCs/>
          <w:sz w:val="28"/>
          <w:szCs w:val="28"/>
        </w:rPr>
        <w:t>Промышленное производство</w:t>
      </w:r>
    </w:p>
    <w:p w:rsidR="005B4471" w:rsidRPr="0053501B" w:rsidRDefault="005B4471" w:rsidP="005B4471">
      <w:pPr>
        <w:spacing w:after="0" w:line="240" w:lineRule="auto"/>
        <w:ind w:left="121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Город Покачи </w:t>
      </w:r>
      <w:r w:rsidR="00DA20C7">
        <w:rPr>
          <w:rFonts w:ascii="Times New Roman" w:hAnsi="Times New Roman" w:cs="Times New Roman"/>
          <w:sz w:val="28"/>
          <w:szCs w:val="28"/>
        </w:rPr>
        <w:t>–</w:t>
      </w:r>
      <w:r w:rsidRPr="0053501B">
        <w:rPr>
          <w:rFonts w:ascii="Times New Roman" w:hAnsi="Times New Roman" w:cs="Times New Roman"/>
          <w:sz w:val="28"/>
          <w:szCs w:val="28"/>
        </w:rPr>
        <w:t xml:space="preserve"> самый молодой город Ханты-Мансийского автономного округа – Югры. На территории города структура промышленного производства сложилась с учетом потребностей цехов и участков, образованных от действующих производств близлежащих городов Лангепас и Когалым, и впоследствии переданных в ТПП «Покачевнефтегаз».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В связи с этим, объём промышленного производства города в большей степени зависит от деятельности территориально-производственного предприятия «Покачевнефтегаз», входящее в состав ООО «ЛУКОЙЛ - Западная Сибирь» и предприятий, связанных с ним единым технологическим процессом. В городе зарегистрированы и действуют предприятия различных форм собственности.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Наибольшую долю прироста всего промышленного производства в городе обеспечивают: добыча полезных ископаемых, обрабатывающие производства, производство и распределение электроэнергии, газа и воды.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lastRenderedPageBreak/>
        <w:t>На перспективу 2021-2023 годов, по базовому варианту прогнозируется снижение объемов промышленного сектора экономики города Покачи, и соответственно индексов промышленного производства до 102,4% в 2023 году, в связи с пандемией коронавируса в стране. По прогнозу в 2023 году объем отгруженных товаров собственного производства, выполненных работ и услуг собственными силами достигнет 10 280,00 млн. рублей по базовому варианту.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В условиях базового варианта, более сдержанного, в 2021 году по отношению к 2020 году индекс промышленного производства составит 97,65%.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По данным Тюменьстата объем отгруженных товаров собственного производства, выполненных работ и услуг собственными силами по крупным и средним производителям промышленной продукции в 2019 году составил 10630 млн. рублей или 102,1% к аналогичному периоду 2018 года (10414,0 млн. рублей):</w:t>
      </w:r>
    </w:p>
    <w:p w:rsidR="005B4471" w:rsidRPr="0053501B" w:rsidRDefault="005B4471" w:rsidP="005B4471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добыча полезных ископаемых – 4 565,3 млн. рублей или 107,9% к аналогичному периоду 2018 года (4 231,5 млн. рублей);</w:t>
      </w:r>
    </w:p>
    <w:p w:rsidR="005B4471" w:rsidRPr="0053501B" w:rsidRDefault="005B4471" w:rsidP="005B4471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обрабатывающие производства – 434,46 млн. рублей или 66,2% к аналогичному периоду 2018 года (656,0 млн. рублей);</w:t>
      </w:r>
    </w:p>
    <w:p w:rsidR="005B4471" w:rsidRPr="0053501B" w:rsidRDefault="005B4471" w:rsidP="005B4471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производство и распределение электроэнергии, газа и воды – 637,0 млн. рублей или 94,8% к аналогичному периоду 2018 года (672,2 млн. рублей).</w:t>
      </w:r>
    </w:p>
    <w:p w:rsidR="005B4471" w:rsidRPr="0053501B" w:rsidRDefault="005B4471" w:rsidP="005B447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В период режима повышенной готовности на территории ХМАО-Югры, связанной с распространением новой коронавирусной инфекции, вызванной </w:t>
      </w:r>
      <w:r w:rsidRPr="0053501B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53501B">
        <w:rPr>
          <w:rFonts w:ascii="Times New Roman" w:hAnsi="Times New Roman" w:cs="Times New Roman"/>
          <w:sz w:val="28"/>
          <w:szCs w:val="28"/>
        </w:rPr>
        <w:t>-19, по оценке 2020 года наблюдается снижение объемов отгруженных товаров собственного производства, выполненных работ и услуг собственными силами предварительно до 9 488 млн. рублей, в прогнозный период 2021 год – 9 745 млн. рублей в базовом варианте.</w:t>
      </w:r>
    </w:p>
    <w:p w:rsidR="005B4471" w:rsidRPr="0053501B" w:rsidRDefault="005B4471" w:rsidP="005B4471">
      <w:pPr>
        <w:tabs>
          <w:tab w:val="left" w:pos="1134"/>
        </w:tabs>
        <w:spacing w:after="0" w:line="240" w:lineRule="auto"/>
        <w:ind w:left="709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B4471" w:rsidRPr="0053501B" w:rsidRDefault="005B4471" w:rsidP="005B447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501B">
        <w:rPr>
          <w:rFonts w:ascii="Times New Roman" w:hAnsi="Times New Roman" w:cs="Times New Roman"/>
          <w:bCs/>
          <w:sz w:val="28"/>
          <w:szCs w:val="28"/>
        </w:rPr>
        <w:t>2. Инвестиции</w:t>
      </w:r>
    </w:p>
    <w:p w:rsidR="005B4471" w:rsidRPr="0053501B" w:rsidRDefault="005B4471" w:rsidP="005B4471">
      <w:pPr>
        <w:spacing w:after="0" w:line="240" w:lineRule="auto"/>
        <w:ind w:left="1211" w:firstLine="709"/>
        <w:rPr>
          <w:rFonts w:ascii="Times New Roman" w:hAnsi="Times New Roman" w:cs="Times New Roman"/>
          <w:bCs/>
          <w:sz w:val="28"/>
          <w:szCs w:val="28"/>
        </w:rPr>
      </w:pP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за 2019 год составил 393,36  млн. рублей или 102,5% к соответствующему периоду 2018 года (383,5 млн. рублей). 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В 2020 году, в связи со сложившей экономической ситуацией,  по данному виду деятельности ожидается уменьшение объемов инвестиций до 352,45 млн. рублей, что составит 84,85% к уровню 2019 года в сопоставимых ценах.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В прогнозном периоде ожидается увеличение объема инвестиционных вложений в 2021 году по базовому варианту на 1,99% к уровню 2020 года или 359,49 млн. рублей и рост к 2023 году на 6,7% к уровню 2020 года (или 375,98 млн. рублей). </w:t>
      </w:r>
    </w:p>
    <w:p w:rsidR="005B4471" w:rsidRPr="0053501B" w:rsidRDefault="005B4471" w:rsidP="00815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Создание инвестиционного потенциала важное условие развития всех отраслей, поэтому является приоритетным направлением деятельности в город</w:t>
      </w:r>
      <w:r w:rsidR="00815CAA">
        <w:rPr>
          <w:rFonts w:ascii="Times New Roman" w:hAnsi="Times New Roman" w:cs="Times New Roman"/>
          <w:sz w:val="28"/>
          <w:szCs w:val="28"/>
        </w:rPr>
        <w:t>е</w:t>
      </w:r>
      <w:r w:rsidRPr="0053501B">
        <w:rPr>
          <w:rFonts w:ascii="Times New Roman" w:hAnsi="Times New Roman" w:cs="Times New Roman"/>
          <w:sz w:val="28"/>
          <w:szCs w:val="28"/>
        </w:rPr>
        <w:t xml:space="preserve"> Покачи.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В целях инвестиционной привлекательности и информирования инвесторов в городе Покачи: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а)</w:t>
      </w:r>
      <w:r w:rsidRPr="0053501B">
        <w:rPr>
          <w:rFonts w:ascii="Times New Roman" w:hAnsi="Times New Roman" w:cs="Times New Roman"/>
          <w:sz w:val="28"/>
          <w:szCs w:val="28"/>
        </w:rPr>
        <w:tab/>
        <w:t>в актуальном состоянии поддерживается Инвестиционный паспорт муниципального образования, который размещен на официальном сайте города и на Инвестиционном портале Ханты-Мансийского автономного округа – Югры в разделе: О регионе/Общие сведения/Инвестиционный климат/г. Покачи;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Pr="0053501B">
        <w:rPr>
          <w:rFonts w:ascii="Times New Roman" w:hAnsi="Times New Roman" w:cs="Times New Roman"/>
          <w:sz w:val="28"/>
          <w:szCs w:val="28"/>
        </w:rPr>
        <w:tab/>
        <w:t>ежегодно обновляется инвестиционное послание главы муниципального образования город Покачи, которое озвучивается перед жителями города Покачи (встречи с коллективами, различными обществами) и размещается на официальном сайте администрации города Покачи в разделе «Инвестиционная деятельность» в виде обращения к потенциальным субъектам инвестиционной деятельности, а также на инвестиционном портале округа;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в)</w:t>
      </w:r>
      <w:r w:rsidRPr="0053501B">
        <w:rPr>
          <w:rFonts w:ascii="Times New Roman" w:hAnsi="Times New Roman" w:cs="Times New Roman"/>
          <w:sz w:val="28"/>
          <w:szCs w:val="28"/>
        </w:rPr>
        <w:tab/>
        <w:t>для оперативного решения возникающих в процессе инвестиционной деятельности проблем и вопросов действует канал прямой связи «Обращение субъекта инвестиционной деятельности»;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г)</w:t>
      </w:r>
      <w:r w:rsidRPr="0053501B">
        <w:rPr>
          <w:rFonts w:ascii="Times New Roman" w:hAnsi="Times New Roman" w:cs="Times New Roman"/>
          <w:sz w:val="28"/>
          <w:szCs w:val="28"/>
        </w:rPr>
        <w:tab/>
        <w:t>в рамках государственной информационной системы «Инвестиционная карта Югры» в актуальном состоянии поддерживается информация по городу Покачи, где отражены земельные территории, которые могут быть использованы для размещения потенциальных инвестиционных проектов. В 2019 году было заключено соглашение о взаимодействии между Департаментом экономического развития Ханты-Мансийского автономного округа – Югры, Фондом развития Ханты-Мансийского автономного округа – Югры и муниципальным образованием город Покачи по обеспечению функционирования Инвестиционной карты;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д)</w:t>
      </w:r>
      <w:r w:rsidRPr="0053501B">
        <w:rPr>
          <w:rFonts w:ascii="Times New Roman" w:hAnsi="Times New Roman" w:cs="Times New Roman"/>
          <w:sz w:val="28"/>
          <w:szCs w:val="28"/>
        </w:rPr>
        <w:tab/>
        <w:t xml:space="preserve">на официальном сайте администрации города Покачи создан раздел «Инвестиционная деятельность», в котором размещена информация по формированию благоприятных условий ведения предпринимательской деятельности. </w:t>
      </w:r>
    </w:p>
    <w:p w:rsidR="005B4471" w:rsidRPr="0053501B" w:rsidRDefault="005B4471" w:rsidP="005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Информация об оказываемых формах поддержки субъектов малого и среднего предпринимательства размещена на информационных стендах администрации города  для населения, в свободном доступе, в виде памяток, листовок и раздаточного материала, а также на портале МАУ МФЦ «Мои документы» в рубрике «Новости».</w:t>
      </w:r>
    </w:p>
    <w:p w:rsidR="005B4471" w:rsidRPr="0053501B" w:rsidRDefault="005B4471" w:rsidP="005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В МАУ МФЦ «Мои документы» создано отдельное бизнес-окно, в котором организован прием документов от юридических лиц и индивидуальных предпринимателей и оказание им консультационных услуг по различным направлениям. В 2019 году субъектам малого и среднего предпринимательства и юридическим лицам оказано 1155 услуг, что на 61,32% ниже уровня 2018 года. Снижение количества услуг наблюдается из-за возможности подачи заявителем заявления в электронном виде, а также в связи с тем, что в 2018 в МАУ МФЦ «Мои документы» города Покачи обращались юридические лица из г. Лангепас и г. Когалым для подачи заявления по линии Росреестр. </w:t>
      </w:r>
    </w:p>
    <w:p w:rsidR="005B4471" w:rsidRPr="0053501B" w:rsidRDefault="00476E20" w:rsidP="005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С</w:t>
      </w:r>
      <w:r w:rsidR="005B4471" w:rsidRPr="0053501B">
        <w:rPr>
          <w:rFonts w:ascii="Times New Roman" w:hAnsi="Times New Roman" w:cs="Times New Roman"/>
          <w:sz w:val="28"/>
          <w:szCs w:val="28"/>
        </w:rPr>
        <w:t>рок предоставления муниципальной услуги по выдаче разрешения на строительство</w:t>
      </w:r>
      <w:r w:rsidRPr="0053501B">
        <w:rPr>
          <w:rFonts w:ascii="Times New Roman" w:hAnsi="Times New Roman" w:cs="Times New Roman"/>
          <w:sz w:val="28"/>
          <w:szCs w:val="28"/>
        </w:rPr>
        <w:t xml:space="preserve"> фактически сократился </w:t>
      </w:r>
      <w:r w:rsidR="005B4471" w:rsidRPr="0053501B">
        <w:rPr>
          <w:rFonts w:ascii="Times New Roman" w:hAnsi="Times New Roman" w:cs="Times New Roman"/>
          <w:sz w:val="28"/>
          <w:szCs w:val="28"/>
        </w:rPr>
        <w:t>до 3 рабочих дней при нормативных 7.</w:t>
      </w:r>
    </w:p>
    <w:p w:rsidR="005B4471" w:rsidRPr="0053501B" w:rsidRDefault="005B4471" w:rsidP="005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По соглашению о социальном партнерстве между Правительством округа и компанией «ЛУКОЙЛ», в 2019 году было получено положительное заключение государственной экспертизы, начато строительство нового спортивного комплекса взамен ветхого здания «Сибиряк». Строительство спортивного комплекса предусмотрено программой «Комплексное развитие социальной инфраструктуры города Покачи на 2018-2028 годы</w:t>
      </w:r>
      <w:r w:rsidR="005442AC" w:rsidRPr="0053501B">
        <w:rPr>
          <w:rFonts w:ascii="Times New Roman" w:hAnsi="Times New Roman" w:cs="Times New Roman"/>
          <w:sz w:val="28"/>
          <w:szCs w:val="28"/>
        </w:rPr>
        <w:t>»</w:t>
      </w:r>
      <w:r w:rsidRPr="0053501B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администрации города Покачи от 31.10.2017 № 1213.</w:t>
      </w:r>
    </w:p>
    <w:p w:rsidR="005B4471" w:rsidRPr="0053501B" w:rsidRDefault="005B4471" w:rsidP="003E5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lastRenderedPageBreak/>
        <w:t xml:space="preserve">За </w:t>
      </w:r>
      <w:r w:rsidR="00476E20" w:rsidRPr="0053501B">
        <w:rPr>
          <w:rFonts w:ascii="Times New Roman" w:hAnsi="Times New Roman" w:cs="Times New Roman"/>
          <w:sz w:val="28"/>
          <w:szCs w:val="28"/>
        </w:rPr>
        <w:t xml:space="preserve">2019 год главой города и </w:t>
      </w:r>
      <w:r w:rsidRPr="0053501B">
        <w:rPr>
          <w:rFonts w:ascii="Times New Roman" w:hAnsi="Times New Roman" w:cs="Times New Roman"/>
          <w:sz w:val="28"/>
          <w:szCs w:val="28"/>
        </w:rPr>
        <w:t>администраци</w:t>
      </w:r>
      <w:r w:rsidR="00476E20" w:rsidRPr="0053501B">
        <w:rPr>
          <w:rFonts w:ascii="Times New Roman" w:hAnsi="Times New Roman" w:cs="Times New Roman"/>
          <w:sz w:val="28"/>
          <w:szCs w:val="28"/>
        </w:rPr>
        <w:t>ей</w:t>
      </w:r>
      <w:r w:rsidRPr="0053501B">
        <w:rPr>
          <w:rFonts w:ascii="Times New Roman" w:hAnsi="Times New Roman" w:cs="Times New Roman"/>
          <w:sz w:val="28"/>
          <w:szCs w:val="28"/>
        </w:rPr>
        <w:t xml:space="preserve"> города проведено 52 встречи различного уровня в формате пер</w:t>
      </w:r>
      <w:r w:rsidR="00476E20" w:rsidRPr="0053501B">
        <w:rPr>
          <w:rFonts w:ascii="Times New Roman" w:hAnsi="Times New Roman" w:cs="Times New Roman"/>
          <w:sz w:val="28"/>
          <w:szCs w:val="28"/>
        </w:rPr>
        <w:t>еговоров, совещаний, заседаний, на которых были рассмотрены следующие вопросы:</w:t>
      </w:r>
    </w:p>
    <w:p w:rsidR="005B4471" w:rsidRPr="0053501B" w:rsidRDefault="005B4471" w:rsidP="005B4471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консультации и разъяснения по применению законодательства, условиям принятия участия в конкурсах, торгах, программах, получениям разрешений, подключениям к инженерным сетям, условиям предоставлений и подбору земельных участков;</w:t>
      </w:r>
    </w:p>
    <w:p w:rsidR="005B4471" w:rsidRPr="0053501B" w:rsidRDefault="005B4471" w:rsidP="005B4471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предоставление информации по городу (потребности жителей в жилье, потребителей той или иной сферы деятельности, технических характеристик объектов), консультации по видам поддержки различного уровня.</w:t>
      </w:r>
    </w:p>
    <w:p w:rsidR="005B4471" w:rsidRPr="0053501B" w:rsidRDefault="005B4471" w:rsidP="00815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В 2019 году органы местного самоуправления город</w:t>
      </w:r>
      <w:r w:rsidR="00815CAA">
        <w:rPr>
          <w:rFonts w:ascii="Times New Roman" w:hAnsi="Times New Roman" w:cs="Times New Roman"/>
          <w:sz w:val="28"/>
          <w:szCs w:val="28"/>
        </w:rPr>
        <w:t>а</w:t>
      </w:r>
      <w:r w:rsidRPr="0053501B">
        <w:rPr>
          <w:rFonts w:ascii="Times New Roman" w:hAnsi="Times New Roman" w:cs="Times New Roman"/>
          <w:sz w:val="28"/>
          <w:szCs w:val="28"/>
        </w:rPr>
        <w:t xml:space="preserve"> Покачи успешно проводили оценку регулирующего воздействия проектов муниципальных нормативных актов (ОРВ), затрагивающих вопросы осуществления предпринимательской и инвестиционной деятельности. Город Покачи получил наивысший результат по итогам «независимой экспертизы», набрал 81 балл, в результате чего попал в I группу (высший уровень) и занял 12 место.</w:t>
      </w:r>
    </w:p>
    <w:p w:rsidR="00F63C49" w:rsidRPr="0053501B" w:rsidRDefault="00F63C49" w:rsidP="00F6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В целях формирования доступной городской инфраструктуры для реализации инвестиционных проектов и создания благоприятных условий сформированы территории, которые могут использоваться в инвестиционной деятельности (10 территорий). Эти объекты размещены на официальном сайте города Покачи и на Инвестиционной карте Югры.</w:t>
      </w:r>
    </w:p>
    <w:p w:rsidR="005B4471" w:rsidRPr="0053501B" w:rsidRDefault="005B4471" w:rsidP="005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В рамках заключенного концессионного соглашения между </w:t>
      </w:r>
      <w:r w:rsidR="005C39CF">
        <w:rPr>
          <w:rFonts w:ascii="Times New Roman" w:hAnsi="Times New Roman" w:cs="Times New Roman"/>
          <w:sz w:val="28"/>
          <w:szCs w:val="28"/>
        </w:rPr>
        <w:t>администрацией города Покачи</w:t>
      </w:r>
      <w:r w:rsidRPr="0053501B">
        <w:rPr>
          <w:rFonts w:ascii="Times New Roman" w:hAnsi="Times New Roman" w:cs="Times New Roman"/>
          <w:sz w:val="28"/>
          <w:szCs w:val="28"/>
        </w:rPr>
        <w:t xml:space="preserve"> и ООО «Экосистема» в 2019 году концессионером осуществлялась только эксплуатация объектов водоотведения города Покачи (эксплуатационный этап), посредством оказания услуг потребителям.</w:t>
      </w:r>
    </w:p>
    <w:p w:rsidR="005B4471" w:rsidRPr="0053501B" w:rsidRDefault="005B4471" w:rsidP="005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Во исполнение Федерального закона «О концессионных соглашениях» № 115-ФЗ от 21.07.2005 и согласно условиям концессионного соглашения, Концедентом осуществляется контроль за соблюдением концессионером условий концессионного соглашения в соответствии с графиком проведения контрольных мероприятий.</w:t>
      </w:r>
    </w:p>
    <w:p w:rsidR="005B4471" w:rsidRPr="0053501B" w:rsidRDefault="005B4471" w:rsidP="005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Результаты контроля о</w:t>
      </w:r>
      <w:r w:rsidR="00B42973" w:rsidRPr="0053501B">
        <w:rPr>
          <w:rFonts w:ascii="Times New Roman" w:hAnsi="Times New Roman" w:cs="Times New Roman"/>
          <w:sz w:val="28"/>
          <w:szCs w:val="28"/>
        </w:rPr>
        <w:t>формляются</w:t>
      </w:r>
      <w:r w:rsidRPr="0053501B">
        <w:rPr>
          <w:rFonts w:ascii="Times New Roman" w:hAnsi="Times New Roman" w:cs="Times New Roman"/>
          <w:sz w:val="28"/>
          <w:szCs w:val="28"/>
        </w:rPr>
        <w:t xml:space="preserve"> актом контрол</w:t>
      </w:r>
      <w:r w:rsidR="00B42973" w:rsidRPr="0053501B">
        <w:rPr>
          <w:rFonts w:ascii="Times New Roman" w:hAnsi="Times New Roman" w:cs="Times New Roman"/>
          <w:sz w:val="28"/>
          <w:szCs w:val="28"/>
        </w:rPr>
        <w:t>я, который</w:t>
      </w:r>
      <w:r w:rsidRPr="0053501B">
        <w:rPr>
          <w:rFonts w:ascii="Times New Roman" w:hAnsi="Times New Roman" w:cs="Times New Roman"/>
          <w:sz w:val="28"/>
          <w:szCs w:val="28"/>
        </w:rPr>
        <w:t xml:space="preserve"> представл</w:t>
      </w:r>
      <w:r w:rsidR="00B42973" w:rsidRPr="0053501B">
        <w:rPr>
          <w:rFonts w:ascii="Times New Roman" w:hAnsi="Times New Roman" w:cs="Times New Roman"/>
          <w:sz w:val="28"/>
          <w:szCs w:val="28"/>
        </w:rPr>
        <w:t>яется</w:t>
      </w:r>
      <w:r w:rsidRPr="0053501B">
        <w:rPr>
          <w:rFonts w:ascii="Times New Roman" w:hAnsi="Times New Roman" w:cs="Times New Roman"/>
          <w:sz w:val="28"/>
          <w:szCs w:val="28"/>
        </w:rPr>
        <w:t xml:space="preserve"> на обсуждение координационного совета по реализации Стратегии социально-экономического развития город</w:t>
      </w:r>
      <w:r w:rsidR="005C39CF">
        <w:rPr>
          <w:rFonts w:ascii="Times New Roman" w:hAnsi="Times New Roman" w:cs="Times New Roman"/>
          <w:sz w:val="28"/>
          <w:szCs w:val="28"/>
        </w:rPr>
        <w:t>а</w:t>
      </w:r>
      <w:r w:rsidRPr="0053501B">
        <w:rPr>
          <w:rFonts w:ascii="Times New Roman" w:hAnsi="Times New Roman" w:cs="Times New Roman"/>
          <w:sz w:val="28"/>
          <w:szCs w:val="28"/>
        </w:rPr>
        <w:t xml:space="preserve"> Покачи до 2020 и на период 2030 года и вопросам развития инвестиционной деятельности города Покачи.</w:t>
      </w:r>
    </w:p>
    <w:p w:rsidR="005B4471" w:rsidRPr="0053501B" w:rsidRDefault="005B4471" w:rsidP="005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С 2020 по 2033 годы планируется реконструкция и модернизация объектов водоотведения в рамках реализации инвестиционной программы ООО «Экосистема», в соответствии с постановлением администрации города Покачи от 27.09.2019 № 856 «О согласовании инвестиционной программы «Экосистема» по развитию системы водоотведения города Покачи на 2020 – 2033», а так же эксплуатация объектов концессии.</w:t>
      </w:r>
    </w:p>
    <w:p w:rsidR="005B4471" w:rsidRPr="0053501B" w:rsidRDefault="005B4471" w:rsidP="005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Результатом внедрения муниципальной практики «Реализация энергосервисных контрактов, направленных на энергосбережение», а также во исполнение пункта 3.3. протокола заседания Комиссии по энергосбережению при </w:t>
      </w:r>
      <w:r w:rsidRPr="0053501B">
        <w:rPr>
          <w:rFonts w:ascii="Times New Roman" w:hAnsi="Times New Roman" w:cs="Times New Roman"/>
          <w:sz w:val="28"/>
          <w:szCs w:val="28"/>
        </w:rPr>
        <w:lastRenderedPageBreak/>
        <w:t>Правительстве Ханты-Мансийского автономного округа от 27.03.2019 в городе Покачи заключены 3 энергосервисных контракта по наружному освещению между АО «ГазпромЭнергосбытТюмень» и:</w:t>
      </w:r>
    </w:p>
    <w:p w:rsidR="005B4471" w:rsidRPr="0053501B" w:rsidRDefault="005B4471" w:rsidP="005B4471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МАДОУ ДСК «Рябинушка» от 31.10.2019 (на срок до 31.12.2025);</w:t>
      </w:r>
    </w:p>
    <w:p w:rsidR="005B4471" w:rsidRPr="0053501B" w:rsidRDefault="005B4471" w:rsidP="005B4471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МАДОУ ДСК «Сказка» от 01.11.2019 (на срок до 31.12.2026);</w:t>
      </w:r>
    </w:p>
    <w:p w:rsidR="005B4471" w:rsidRPr="0053501B" w:rsidRDefault="005B4471" w:rsidP="005B4471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МАОУ СОШ №4 от 15.11.2019 (на срок до 31.12.2025).</w:t>
      </w:r>
    </w:p>
    <w:p w:rsidR="005B4471" w:rsidRPr="0053501B" w:rsidRDefault="005B4471" w:rsidP="005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Для реализации инвестиционных проектов в городе существует резерв производственных мощностей и уровень установленных тарифов на коммунальные услуги ниже средних по округу: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701"/>
        <w:gridCol w:w="1985"/>
        <w:gridCol w:w="1276"/>
        <w:gridCol w:w="1559"/>
      </w:tblGrid>
      <w:tr w:rsidR="005B4471" w:rsidRPr="0053501B" w:rsidTr="00154CE9">
        <w:trPr>
          <w:trHeight w:val="1157"/>
        </w:trPr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тепло-</w:t>
            </w:r>
          </w:p>
          <w:p w:rsidR="005B4471" w:rsidRPr="0053501B" w:rsidRDefault="005B4471" w:rsidP="005B447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снабжение, гкал/час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водоснабжение,</w:t>
            </w:r>
          </w:p>
          <w:p w:rsidR="005B4471" w:rsidRPr="0053501B" w:rsidRDefault="005B4471" w:rsidP="005B447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тыс.м куб/сут.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электро-энергия,</w:t>
            </w:r>
          </w:p>
          <w:p w:rsidR="005B4471" w:rsidRPr="0053501B" w:rsidRDefault="005B4471" w:rsidP="005B447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МВТ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водо-</w:t>
            </w:r>
          </w:p>
          <w:p w:rsidR="005B4471" w:rsidRPr="0053501B" w:rsidRDefault="005B4471" w:rsidP="005B447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отведение,</w:t>
            </w:r>
          </w:p>
          <w:p w:rsidR="005B4471" w:rsidRPr="0053501B" w:rsidRDefault="005B4471" w:rsidP="005B447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тыс.м куб/сут.</w:t>
            </w:r>
          </w:p>
        </w:tc>
      </w:tr>
      <w:tr w:rsidR="005B4471" w:rsidRPr="0053501B" w:rsidTr="00154CE9">
        <w:trPr>
          <w:trHeight w:val="375"/>
        </w:trPr>
        <w:tc>
          <w:tcPr>
            <w:tcW w:w="3686" w:type="dxa"/>
            <w:shd w:val="clear" w:color="auto" w:fill="auto"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Установленная производственная мощность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lef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lef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lef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lef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B4471" w:rsidRPr="0053501B" w:rsidTr="00154CE9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Фактическая производительность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lef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4471" w:rsidRPr="0053501B" w:rsidRDefault="005B4471" w:rsidP="005B4471">
            <w:pPr>
              <w:tabs>
                <w:tab w:val="left" w:pos="317"/>
              </w:tabs>
              <w:spacing w:after="0" w:line="240" w:lineRule="auto"/>
              <w:ind w:lef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2,17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lef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lef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2,07</w:t>
            </w:r>
          </w:p>
        </w:tc>
      </w:tr>
      <w:tr w:rsidR="005B4471" w:rsidRPr="0053501B" w:rsidTr="00154CE9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Резерв мощностей, %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lef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lef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lef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B4471" w:rsidRPr="0053501B" w:rsidRDefault="005B4471" w:rsidP="005B4471">
            <w:pPr>
              <w:spacing w:after="0" w:line="240" w:lineRule="auto"/>
              <w:ind w:lef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:rsidR="005B4471" w:rsidRPr="0053501B" w:rsidRDefault="005B4471" w:rsidP="005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471" w:rsidRPr="0053501B" w:rsidRDefault="005B4471" w:rsidP="005B447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501B">
        <w:rPr>
          <w:rFonts w:ascii="Times New Roman" w:hAnsi="Times New Roman" w:cs="Times New Roman"/>
          <w:bCs/>
          <w:sz w:val="28"/>
          <w:szCs w:val="28"/>
        </w:rPr>
        <w:t>3. Строительство</w:t>
      </w:r>
    </w:p>
    <w:p w:rsidR="005B4471" w:rsidRPr="0053501B" w:rsidRDefault="005B4471" w:rsidP="005B4471">
      <w:pPr>
        <w:spacing w:after="0" w:line="240" w:lineRule="auto"/>
        <w:ind w:left="85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Объем работ, выполненных собственными силами крупных и средних предприятий и организаций по виду деятельности «Строительство» за 2019 год по оценочным данным составил 821,3 млн. рублей или 64% к периоду 2018 года (1 281,00 млн. рублей).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За отчетный период введено в эксплуатацию 19 объектов жилищного строительства, общей площадью жилых помещений 4812 кв.м., в том числе: 18 индивидуальных жилых домов, общей площадью жилых помещений 1764,5 кв.м.; 1 многоквартирный жилой дом, общей площадью жилых помещений 3047,5 кв.м. Средний срок выдачи разрешений, со дня получения заявления, составил 2 рабочих дня.</w:t>
      </w:r>
    </w:p>
    <w:p w:rsidR="005B4471" w:rsidRPr="0053501B" w:rsidRDefault="005B4471" w:rsidP="005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Во исполнение поручения Президента Российской Федерации от 09.08.2015 № ПР1608В и на основании муниципальной программы Комплексного развития систем коммунальной инфраструктуры города Покачи на 2017-2027 годы», утвержденной постановлением администрации города Покачи от 17.03.2017 № 261 реализуется инвестиционная программа АО «ЮТЭК-Региональные сети».</w:t>
      </w:r>
    </w:p>
    <w:p w:rsidR="005B4471" w:rsidRPr="0053501B" w:rsidRDefault="005B4471" w:rsidP="005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В рамках инвестиционной программы акционерного общества  «ЮТЭК-региональные сети» в городе Покачи за 2019 год выполняются мероприятия:</w:t>
      </w:r>
    </w:p>
    <w:p w:rsidR="005B4471" w:rsidRPr="0053501B" w:rsidRDefault="005B4471" w:rsidP="005B4471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приобретение и реконструкция ТП-6/0,4 №5.5 ДЕ-25 г.;</w:t>
      </w:r>
    </w:p>
    <w:p w:rsidR="005B4471" w:rsidRPr="0053501B" w:rsidRDefault="005B4471" w:rsidP="005B4471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приобретение и реконструкция ВЛ/КЛ-0,4кВ от ТП 10/0,4 кВ № 2.5 (№47) г. Покачи;</w:t>
      </w:r>
    </w:p>
    <w:p w:rsidR="005B4471" w:rsidRPr="0053501B" w:rsidRDefault="005B4471" w:rsidP="005B4471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приобретение и реконструкция ВЛ/КЛ-0,4кВ от ТП 10/0,4 кВ № 5.3 (№41) г. Покачи;</w:t>
      </w:r>
    </w:p>
    <w:p w:rsidR="005B4471" w:rsidRPr="0053501B" w:rsidRDefault="005B4471" w:rsidP="005B4471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lastRenderedPageBreak/>
        <w:t>приобретение и реконструкция ВЛ-6кВ Ф.9 ПС-35/6кВ «КНС-1» г. Покачи;</w:t>
      </w:r>
    </w:p>
    <w:p w:rsidR="005B4471" w:rsidRPr="0053501B" w:rsidRDefault="005B4471" w:rsidP="005B4471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приобретение и реконструкция ВЛ-6кВ Ф.6 ПС-35/6кВ «Северная» г. Покачи;</w:t>
      </w:r>
    </w:p>
    <w:p w:rsidR="005B4471" w:rsidRPr="0053501B" w:rsidRDefault="005B4471" w:rsidP="005B4471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приобретение и реконструкция ЯКНО-6 №16, ЯКНО-6 №3 ф.20, ЯКНО-6 ф.26 г. Покачи;</w:t>
      </w:r>
    </w:p>
    <w:p w:rsidR="005B4471" w:rsidRPr="0053501B" w:rsidRDefault="005B4471" w:rsidP="005B4471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приобретение и реконструкция ВЛ/КЛ-0,4 кВ КТПН-6/0,4 кВ № 26 г. Покачи;</w:t>
      </w:r>
    </w:p>
    <w:p w:rsidR="005B4471" w:rsidRPr="0053501B" w:rsidRDefault="005B4471" w:rsidP="005B4471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приобретение и реконструкция КТПН-6/0,4 №19 и №32 г. Покачи;</w:t>
      </w:r>
    </w:p>
    <w:p w:rsidR="005B4471" w:rsidRPr="0053501B" w:rsidRDefault="005B4471" w:rsidP="005B4471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реконструкция ТП 10/0,4 кВ №4.1 с сетями электроснабжения 10/0,4 кВ в г. Покачи;</w:t>
      </w:r>
    </w:p>
    <w:p w:rsidR="005B4471" w:rsidRPr="0053501B" w:rsidRDefault="005B4471" w:rsidP="005B4471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реконструкция  электрических сетей ПС 35/6кВ «Северная» в г. Покачи;</w:t>
      </w:r>
    </w:p>
    <w:p w:rsidR="005B4471" w:rsidRPr="0053501B" w:rsidRDefault="005B4471" w:rsidP="005B4471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реконструкция электрических сетей ПС 35/10кВ «Городская» в г. Покачи;</w:t>
      </w:r>
    </w:p>
    <w:p w:rsidR="005B4471" w:rsidRPr="0053501B" w:rsidRDefault="005B4471" w:rsidP="005B4471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реконструкция ТП, КТПН г. Покачи;</w:t>
      </w:r>
    </w:p>
    <w:p w:rsidR="005B4471" w:rsidRPr="0053501B" w:rsidRDefault="005B4471" w:rsidP="005B4471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реконструкция сетей электроснабжения от ТП, КТПН г. Покачи.</w:t>
      </w:r>
    </w:p>
    <w:p w:rsidR="005B4471" w:rsidRPr="0053501B" w:rsidRDefault="005B4471" w:rsidP="005B4471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сети электроснабжения 35 кВ от ПС 110/35/10 кВ «Новые Покачи» до ПС 35/10 кВ «Городская». Второй источник электроснабжения г. Покачи – на стадии согласования проекта.</w:t>
      </w:r>
    </w:p>
    <w:p w:rsidR="005B4471" w:rsidRPr="0053501B" w:rsidRDefault="005B4471" w:rsidP="005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Завершены работы по мероприятиям:</w:t>
      </w:r>
    </w:p>
    <w:p w:rsidR="005B4471" w:rsidRPr="0053501B" w:rsidRDefault="005B4471" w:rsidP="005B4471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ТП 10/0,4 кВ № 3.1 (РП Школа) с сетями 10/0,4 кВ в г. Покачи;</w:t>
      </w:r>
    </w:p>
    <w:p w:rsidR="005B4471" w:rsidRPr="0053501B" w:rsidRDefault="005B4471" w:rsidP="005B4471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сети электроснабжения 10-0,4 кВ с ТП 10/0,4 кВ  № 3.2 г. Покачи;</w:t>
      </w:r>
    </w:p>
    <w:p w:rsidR="005B4471" w:rsidRPr="0053501B" w:rsidRDefault="005B4471" w:rsidP="005B4471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ТП 10/0,4 кВ №1.3 с сетями электроснабжения 10/0,4 кВ в г. Покачи;</w:t>
      </w:r>
    </w:p>
    <w:p w:rsidR="005B4471" w:rsidRPr="0053501B" w:rsidRDefault="005B4471" w:rsidP="005B4471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4 КЛ-10 кВ от БКТП 10/0,4 кВ № 2.5 до ТП 10/0,4 кВ № 2.4 в г. Покачи;</w:t>
      </w:r>
    </w:p>
    <w:p w:rsidR="005B4471" w:rsidRPr="0053501B" w:rsidRDefault="005B4471" w:rsidP="005B4471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ТП 10/0,4 кВ в жилых микрорайонах (6 шт.) с КЛ 10-0,4 кВ (1, 2 этап). 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4471" w:rsidRPr="0053501B" w:rsidRDefault="005B4471" w:rsidP="005B447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501B">
        <w:rPr>
          <w:rFonts w:ascii="Times New Roman" w:hAnsi="Times New Roman" w:cs="Times New Roman"/>
          <w:bCs/>
          <w:sz w:val="28"/>
          <w:szCs w:val="28"/>
        </w:rPr>
        <w:t>4. Потребительский рынок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В город</w:t>
      </w:r>
      <w:r w:rsidR="005C39CF">
        <w:rPr>
          <w:rFonts w:ascii="Times New Roman" w:hAnsi="Times New Roman" w:cs="Times New Roman"/>
          <w:sz w:val="28"/>
          <w:szCs w:val="28"/>
        </w:rPr>
        <w:t>е</w:t>
      </w:r>
      <w:r w:rsidRPr="0053501B">
        <w:rPr>
          <w:rFonts w:ascii="Times New Roman" w:hAnsi="Times New Roman" w:cs="Times New Roman"/>
          <w:sz w:val="28"/>
          <w:szCs w:val="28"/>
        </w:rPr>
        <w:t xml:space="preserve"> Покачи сформирована рациональная инфраструктура потребительского рынка с приоритетным развитием стационарной сети и оптимальным размещением мелкорозничной торговли. На потребительском рынке города представлены практически все группы товаров, дефицита продовольственных и непродовольственных товаров в отчётном периоде не наблюдалось.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Сфера потребительского рынка города Покачи представлена субъектами малого и среднего предпринимательства, торговыми центрами, магазинами федеральных торговых сетей («Магнит», «Монетка», «Красное и белое», «Пятерочка», «Кари», «Пекарня Любимая»), «DNS», «RBT.ru», региональных торговых сетей («Оптима»), местных  предпринимателей, магазинами формата шаговой доступности, объектами нестационарной торговли.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В целях реализации государственной политики по недопущению резкого повышения цен на отдельные виды социально значимых продовольственных товаров первой необходимости, проводится еженедельный мониторинг розничных цен в 4 торговых точках города Покачи по 25 наименованиям </w:t>
      </w:r>
      <w:r w:rsidRPr="0053501B">
        <w:rPr>
          <w:rFonts w:ascii="Times New Roman" w:hAnsi="Times New Roman" w:cs="Times New Roman"/>
          <w:sz w:val="28"/>
          <w:szCs w:val="28"/>
        </w:rPr>
        <w:lastRenderedPageBreak/>
        <w:t>продуктов для определения уровня изменения цен. Все данные направляются в БУ Ханты-Мансийского автономного округа - Югры «Региональный аналитический центр» для анализа и формирования Регионального информационного мониторинга.</w:t>
      </w:r>
    </w:p>
    <w:p w:rsidR="00B05AC8" w:rsidRPr="0053501B" w:rsidRDefault="00B05AC8" w:rsidP="00B05A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По итогам проведенного мониторинга, наибольшее изменение розничных цен, зафиксированных на 25.09.2020 по отношению к ценам на 10.01.2020, произошло на следующие продукты питания: </w:t>
      </w:r>
    </w:p>
    <w:tbl>
      <w:tblPr>
        <w:tblW w:w="10092" w:type="dxa"/>
        <w:tblInd w:w="108" w:type="dxa"/>
        <w:tblLook w:val="04A0" w:firstRow="1" w:lastRow="0" w:firstColumn="1" w:lastColumn="0" w:noHBand="0" w:noVBand="1"/>
      </w:tblPr>
      <w:tblGrid>
        <w:gridCol w:w="3087"/>
        <w:gridCol w:w="1402"/>
        <w:gridCol w:w="4158"/>
        <w:gridCol w:w="1445"/>
      </w:tblGrid>
      <w:tr w:rsidR="00B05AC8" w:rsidRPr="0053501B" w:rsidTr="00B05AC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C8" w:rsidRPr="0053501B" w:rsidRDefault="00B05AC8" w:rsidP="00B05A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Наименование товара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C8" w:rsidRPr="0053501B" w:rsidRDefault="00B05AC8" w:rsidP="00B05A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Рост цен (%)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C8" w:rsidRPr="0053501B" w:rsidRDefault="00B05AC8" w:rsidP="00B05A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Наименование товара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C8" w:rsidRPr="0053501B" w:rsidRDefault="00B05AC8" w:rsidP="00B05A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Снижение цен (%)</w:t>
            </w:r>
          </w:p>
        </w:tc>
      </w:tr>
      <w:tr w:rsidR="00B05AC8" w:rsidRPr="0053501B" w:rsidTr="00B05AC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Крупа гречневая-ядрица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+43,9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Рыба мороженая неразделанная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-16,3</w:t>
            </w:r>
          </w:p>
        </w:tc>
      </w:tr>
      <w:tr w:rsidR="00B05AC8" w:rsidRPr="0053501B" w:rsidTr="00B05AC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Картофель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+32,4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Капуста белокочанная свежая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-12,8</w:t>
            </w:r>
          </w:p>
        </w:tc>
      </w:tr>
      <w:tr w:rsidR="00B05AC8" w:rsidRPr="0053501B" w:rsidTr="00B05AC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Вермишель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+25,5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Яйца куриные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-6,7</w:t>
            </w:r>
          </w:p>
        </w:tc>
      </w:tr>
      <w:tr w:rsidR="00B05AC8" w:rsidRPr="0053501B" w:rsidTr="00B05AC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Морковь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+19,3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Молоко питьевое цельное стерилизованное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-5,3</w:t>
            </w:r>
          </w:p>
        </w:tc>
      </w:tr>
      <w:tr w:rsidR="00B05AC8" w:rsidRPr="0053501B" w:rsidTr="00B05AC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Яблоки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+17,5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 xml:space="preserve">Пшено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-4,7</w:t>
            </w:r>
          </w:p>
        </w:tc>
      </w:tr>
      <w:tr w:rsidR="00B05AC8" w:rsidRPr="0053501B" w:rsidTr="00B05AC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Сахар-песок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+13,3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Лук репчатый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-2,8</w:t>
            </w:r>
          </w:p>
        </w:tc>
      </w:tr>
      <w:tr w:rsidR="00B05AC8" w:rsidRPr="0053501B" w:rsidTr="00B05AC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Масло подсолнечное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+11,3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Молоко питьевое цельное пастеризованное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-2,1</w:t>
            </w:r>
          </w:p>
        </w:tc>
      </w:tr>
      <w:tr w:rsidR="00B05AC8" w:rsidRPr="0053501B" w:rsidTr="00B05AC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Рис шлифованный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+9,8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Соль поваренная пищевая (не йодированная)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C8" w:rsidRPr="0053501B" w:rsidRDefault="00B05AC8" w:rsidP="00B05A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01B">
              <w:rPr>
                <w:rFonts w:ascii="Times New Roman" w:hAnsi="Times New Roman" w:cs="Times New Roman"/>
                <w:sz w:val="28"/>
                <w:szCs w:val="28"/>
              </w:rPr>
              <w:t>-1,5</w:t>
            </w:r>
          </w:p>
        </w:tc>
      </w:tr>
    </w:tbl>
    <w:p w:rsidR="005B4471" w:rsidRPr="0053501B" w:rsidRDefault="005B4471" w:rsidP="005B4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С целью повышения информированности граждан, мониторинг цен на социально-значимые продовольственные товары по городу Покачи и близлежащим городам, ежемесячно размещается на официальном сайте администрации города Покачи </w:t>
      </w:r>
      <w:hyperlink r:id="rId9" w:history="1">
        <w:r w:rsidR="00B624A3" w:rsidRPr="0053501B">
          <w:rPr>
            <w:rStyle w:val="af3"/>
            <w:rFonts w:ascii="Times New Roman" w:hAnsi="Times New Roman" w:cs="Times New Roman"/>
            <w:sz w:val="28"/>
            <w:szCs w:val="28"/>
          </w:rPr>
          <w:t>http://admpokachi.ru/</w:t>
        </w:r>
      </w:hyperlink>
      <w:r w:rsidRPr="0053501B">
        <w:rPr>
          <w:rFonts w:ascii="Times New Roman" w:hAnsi="Times New Roman" w:cs="Times New Roman"/>
          <w:sz w:val="28"/>
          <w:szCs w:val="28"/>
        </w:rPr>
        <w:t>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Норматив минимальной обеспеченности населения города Покачи площадью стационарных торговых объектов составляет 551 кв.м. на 1000 жителей.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В городе Покачи действуют 71 торговых объектов. Общая торговая площадь всех объектов, действующих на территории города Покачи, составляет 16 958 кв.м.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Обеспеченность торговыми площадями на 1000 человек в городе Покачи составляет более 167% к установленному нормативу.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Нестационарная торговая сеть в городе представлена 15 объектами, общей торговой площадью 595 кв.м.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 xml:space="preserve">Проведение ярмарок способствует развитию здоровой конкуренции в городе, позволяет жителям города приобрести качественную продукцию по ценам производителя, поддерживать экономические связи. 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В 2019 году администрацией города Покачи организовано и проведено 30 ярмарок. Продукция представлена предпринимателями муниципальных образований автономного округа: Мегиона, Нижневартовского района, Сургута, Излучинска, Нефтеюганска, а также представителями других городов России – Екатеринбурга, Омска, Новосибирска и  других государств - Республики Беларусь, Киргизкой Республики.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lastRenderedPageBreak/>
        <w:t xml:space="preserve">На период режима самоизоляции на территории ХМАО-Югры, связанной с распространением новой коронавирусной инфекции, вызванной </w:t>
      </w:r>
      <w:r w:rsidRPr="0053501B">
        <w:rPr>
          <w:b w:val="0"/>
          <w:bCs w:val="0"/>
          <w:sz w:val="28"/>
          <w:szCs w:val="28"/>
          <w:lang w:val="en-US"/>
        </w:rPr>
        <w:t>COVID</w:t>
      </w:r>
      <w:r w:rsidRPr="0053501B">
        <w:rPr>
          <w:b w:val="0"/>
          <w:bCs w:val="0"/>
          <w:sz w:val="28"/>
          <w:szCs w:val="28"/>
        </w:rPr>
        <w:t xml:space="preserve">-19, часть торговых объектов приостановили свою деятельность, а так же количество проведенных ярмарок в городе значительно уменьшилось. В связи с этим оборот розничной торговли, а именно оценка 2020 года составит </w:t>
      </w:r>
      <w:r w:rsidR="00D452D5" w:rsidRPr="0053501B">
        <w:rPr>
          <w:b w:val="0"/>
          <w:bCs w:val="0"/>
          <w:sz w:val="28"/>
          <w:szCs w:val="28"/>
        </w:rPr>
        <w:t xml:space="preserve">2822,78 </w:t>
      </w:r>
      <w:r w:rsidRPr="0053501B">
        <w:rPr>
          <w:b w:val="0"/>
          <w:bCs w:val="0"/>
          <w:sz w:val="28"/>
          <w:szCs w:val="28"/>
        </w:rPr>
        <w:t xml:space="preserve">млн. рублей, что на </w:t>
      </w:r>
      <w:r w:rsidR="00D613C6" w:rsidRPr="0053501B">
        <w:rPr>
          <w:b w:val="0"/>
          <w:bCs w:val="0"/>
          <w:sz w:val="28"/>
          <w:szCs w:val="28"/>
        </w:rPr>
        <w:t>8,38%</w:t>
      </w:r>
      <w:r w:rsidRPr="0053501B">
        <w:rPr>
          <w:b w:val="0"/>
          <w:bCs w:val="0"/>
          <w:sz w:val="28"/>
          <w:szCs w:val="28"/>
        </w:rPr>
        <w:t xml:space="preserve"> меньше уровня 2019 года, в прогнозном периоде 2021 года предварительно составит </w:t>
      </w:r>
      <w:r w:rsidR="00AA729E" w:rsidRPr="0053501B">
        <w:rPr>
          <w:b w:val="0"/>
          <w:bCs w:val="0"/>
          <w:sz w:val="28"/>
          <w:szCs w:val="28"/>
        </w:rPr>
        <w:t xml:space="preserve">3020,38 </w:t>
      </w:r>
      <w:r w:rsidRPr="0053501B">
        <w:rPr>
          <w:b w:val="0"/>
          <w:bCs w:val="0"/>
          <w:sz w:val="28"/>
          <w:szCs w:val="28"/>
        </w:rPr>
        <w:t xml:space="preserve"> млн. рублей в базовом варианте. 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 xml:space="preserve">Крестьянско-фермерские хозяйства, действующие на территории города, обеспечены торговыми местами на праве аренды в стационарных объектах розничной торговли, для ежедневной реализации произведенной продукции.  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Потребителям оказывается правовая помощь посредством консультирования и подготовкой претензионных документов.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В 2019 году в администрацию города по защите прав потребителей обратилось 48 граждан за консультацией либо содействием в составлении претензий к продавцам. Потребителям оказана помощь в составлении 31 письменных претензий на сумму 130,7 тыс. рублей. Наряду с консультированием потребителей с целью содействия досудебному урегулированию споров в отчетном периоде дано 48 разъяснений о правах потребителей и ответственности за несоблюдение этих прав. В соответствии с частью 3 статьи 42.3 Закона Российской Федерации от 7 февраля 1992 года  № 2300-1 «О защите прав потребителей» заключено Соглашение о взаимодействии управления экономики администрации города Покачи с МАУ МФЦ «Мои документы», куда граждане также могут обратиться с заявлением о нарушении прав потребителей.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 xml:space="preserve">В сфере бытового обслуживания населения заняты субъекты малого и среднего предпринимательства. В городе представлены практически все сферы основных бытовых услуг: парикмахерские (салоны красоты), службы по техническому обслуживанию и ремонту транспортных средств, ремонту и пошиву обуви, кожгалантереи, швейных изделий, и фото услуги. В 2019 году свою деятельность осуществляли 35 объектов бытового обслуживания (в 2018 году 32). 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В связи с режимом самоизоляции, связанным с распространением коронавирусной инфекции, ожидается снижение объема платных услуг</w:t>
      </w:r>
      <w:r w:rsidR="001314DE" w:rsidRPr="0053501B">
        <w:rPr>
          <w:b w:val="0"/>
          <w:bCs w:val="0"/>
          <w:sz w:val="28"/>
          <w:szCs w:val="28"/>
        </w:rPr>
        <w:t xml:space="preserve"> населению по оценке 2020 года на 24,4</w:t>
      </w:r>
      <w:r w:rsidRPr="0053501B">
        <w:rPr>
          <w:b w:val="0"/>
          <w:bCs w:val="0"/>
          <w:sz w:val="28"/>
          <w:szCs w:val="28"/>
        </w:rPr>
        <w:t>%</w:t>
      </w:r>
      <w:r w:rsidR="00F86CF7" w:rsidRPr="0053501B">
        <w:rPr>
          <w:b w:val="0"/>
          <w:bCs w:val="0"/>
          <w:sz w:val="28"/>
          <w:szCs w:val="28"/>
        </w:rPr>
        <w:t xml:space="preserve"> и предварительно составит 533,75</w:t>
      </w:r>
      <w:r w:rsidRPr="0053501B">
        <w:rPr>
          <w:b w:val="0"/>
          <w:bCs w:val="0"/>
          <w:sz w:val="28"/>
          <w:szCs w:val="28"/>
        </w:rPr>
        <w:t xml:space="preserve"> млн. рублей, в прогнозном периоде 2021 года – 640</w:t>
      </w:r>
      <w:r w:rsidR="00F86CF7" w:rsidRPr="0053501B">
        <w:rPr>
          <w:b w:val="0"/>
          <w:bCs w:val="0"/>
          <w:sz w:val="28"/>
          <w:szCs w:val="28"/>
        </w:rPr>
        <w:t>,5</w:t>
      </w:r>
      <w:r w:rsidRPr="0053501B">
        <w:rPr>
          <w:b w:val="0"/>
          <w:bCs w:val="0"/>
          <w:sz w:val="28"/>
          <w:szCs w:val="28"/>
        </w:rPr>
        <w:t xml:space="preserve"> млн. рублей в базовом варианте, 2023 год – 712,75 млн. рублей в базовом варианте.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В городе 22 предприятия общественного питания на 1555 посадочных мест. В 2019 году открылась уютная кофейня CoffeAce.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Малый бизнес является основой для формирования конкурентной среды, насыщения платежеспособного спроса, улучшения социального климата и в конечном итоге положительного влияния на все сферы общественной жизни города.</w:t>
      </w:r>
    </w:p>
    <w:p w:rsidR="005B4471" w:rsidRPr="0053501B" w:rsidRDefault="005B4471" w:rsidP="005B447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B4471" w:rsidRPr="0053501B" w:rsidRDefault="005B4471" w:rsidP="005B447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501B">
        <w:rPr>
          <w:rFonts w:ascii="Times New Roman" w:hAnsi="Times New Roman" w:cs="Times New Roman"/>
          <w:bCs/>
          <w:sz w:val="28"/>
          <w:szCs w:val="28"/>
        </w:rPr>
        <w:t>5. Уровень жизни населения</w:t>
      </w:r>
    </w:p>
    <w:p w:rsidR="005B4471" w:rsidRPr="0053501B" w:rsidRDefault="005B4471" w:rsidP="005B4471">
      <w:pPr>
        <w:spacing w:after="0" w:line="240" w:lineRule="auto"/>
        <w:ind w:left="1211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За 2019 год величина среднедушевых денежных доходов населения составила 35 112,13</w:t>
      </w:r>
      <w:r w:rsidRPr="0053501B">
        <w:rPr>
          <w:sz w:val="28"/>
          <w:szCs w:val="28"/>
        </w:rPr>
        <w:t xml:space="preserve"> </w:t>
      </w:r>
      <w:r w:rsidRPr="0053501B">
        <w:rPr>
          <w:b w:val="0"/>
          <w:bCs w:val="0"/>
          <w:sz w:val="28"/>
          <w:szCs w:val="28"/>
        </w:rPr>
        <w:t xml:space="preserve">рублей или 102% к периоду 2018 года, при этом реальные </w:t>
      </w:r>
      <w:r w:rsidRPr="0053501B">
        <w:rPr>
          <w:b w:val="0"/>
          <w:bCs w:val="0"/>
          <w:sz w:val="28"/>
          <w:szCs w:val="28"/>
        </w:rPr>
        <w:lastRenderedPageBreak/>
        <w:t>располагаемые денежные доходы населения (скорректированные на уровень инфляции) составили 97,79%.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По данным Тюменьстата среднемесячная начисленная заработная плата по крупным и средним предприятиям города за 2019 год составила 68</w:t>
      </w:r>
      <w:r w:rsidR="00661B69" w:rsidRPr="0053501B">
        <w:rPr>
          <w:b w:val="0"/>
          <w:bCs w:val="0"/>
          <w:sz w:val="28"/>
          <w:szCs w:val="28"/>
        </w:rPr>
        <w:t xml:space="preserve"> </w:t>
      </w:r>
      <w:r w:rsidRPr="0053501B">
        <w:rPr>
          <w:b w:val="0"/>
          <w:bCs w:val="0"/>
          <w:sz w:val="28"/>
          <w:szCs w:val="28"/>
        </w:rPr>
        <w:t>460,8 рублей или 107% к периоду 2018 года (64</w:t>
      </w:r>
      <w:r w:rsidR="00661B69" w:rsidRPr="0053501B">
        <w:rPr>
          <w:b w:val="0"/>
          <w:bCs w:val="0"/>
          <w:sz w:val="28"/>
          <w:szCs w:val="28"/>
        </w:rPr>
        <w:t xml:space="preserve"> </w:t>
      </w:r>
      <w:r w:rsidRPr="0053501B">
        <w:rPr>
          <w:b w:val="0"/>
          <w:bCs w:val="0"/>
          <w:sz w:val="28"/>
          <w:szCs w:val="28"/>
        </w:rPr>
        <w:t xml:space="preserve">057 рублей). </w:t>
      </w:r>
      <w:r w:rsidRPr="0053501B">
        <w:rPr>
          <w:b w:val="0"/>
          <w:sz w:val="28"/>
          <w:szCs w:val="28"/>
        </w:rPr>
        <w:t xml:space="preserve">В среднесрочной перспективе прогнозируется показатель на уровне: </w:t>
      </w:r>
      <w:r w:rsidR="00661B69" w:rsidRPr="0053501B">
        <w:rPr>
          <w:b w:val="0"/>
          <w:sz w:val="28"/>
          <w:szCs w:val="28"/>
        </w:rPr>
        <w:t xml:space="preserve">70 477 рублей </w:t>
      </w:r>
      <w:r w:rsidRPr="0053501B">
        <w:rPr>
          <w:b w:val="0"/>
          <w:sz w:val="28"/>
          <w:szCs w:val="28"/>
        </w:rPr>
        <w:t>в 2020 году, 74</w:t>
      </w:r>
      <w:r w:rsidR="00661B69" w:rsidRPr="0053501B">
        <w:rPr>
          <w:b w:val="0"/>
          <w:sz w:val="28"/>
          <w:szCs w:val="28"/>
        </w:rPr>
        <w:t xml:space="preserve"> </w:t>
      </w:r>
      <w:r w:rsidRPr="0053501B">
        <w:rPr>
          <w:b w:val="0"/>
          <w:sz w:val="28"/>
          <w:szCs w:val="28"/>
        </w:rPr>
        <w:t>468,18 в 2023 году по базовому варианту.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Количество получателей пенсии в городе по состоянию на 01.01.2020 составило 4330 человека или 24 % от численности населения, или на 2,05% выше, по сравнению с аналогичным периодом 2018 года (4243 человек).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 xml:space="preserve">Основным источником доходов пенсионеров являются пенсии, дополнительные выплаты неработающим пенсионерам. 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Средний размер дохода пенсионера по городу за 2019 год предположительно увеличился по сравнению с аналогичным периодом 2018 года (19811,3)  на 9,5% и составил 21,7 тыс. рублей.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</w:p>
    <w:p w:rsidR="005B4471" w:rsidRPr="0053501B" w:rsidRDefault="005B4471" w:rsidP="005B44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6. Труд и занятость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 xml:space="preserve">Численность занятых в экономике города в 2020 году по оценке составит </w:t>
      </w:r>
      <w:r w:rsidR="00EB210B" w:rsidRPr="0053501B">
        <w:rPr>
          <w:b w:val="0"/>
          <w:bCs w:val="0"/>
          <w:sz w:val="28"/>
          <w:szCs w:val="28"/>
        </w:rPr>
        <w:t>8,5</w:t>
      </w:r>
      <w:r w:rsidRPr="0053501B">
        <w:rPr>
          <w:b w:val="0"/>
          <w:bCs w:val="0"/>
          <w:sz w:val="28"/>
          <w:szCs w:val="28"/>
        </w:rPr>
        <w:t xml:space="preserve"> тыс. человек или 10</w:t>
      </w:r>
      <w:r w:rsidR="00EB210B" w:rsidRPr="0053501B">
        <w:rPr>
          <w:b w:val="0"/>
          <w:bCs w:val="0"/>
          <w:sz w:val="28"/>
          <w:szCs w:val="28"/>
        </w:rPr>
        <w:t>0,1</w:t>
      </w:r>
      <w:r w:rsidRPr="0053501B">
        <w:rPr>
          <w:b w:val="0"/>
          <w:bCs w:val="0"/>
          <w:sz w:val="28"/>
          <w:szCs w:val="28"/>
        </w:rPr>
        <w:t xml:space="preserve">% к уровню 2019 года. В прогнозном периоде планируется увеличение </w:t>
      </w:r>
      <w:r w:rsidR="00EB210B" w:rsidRPr="0053501B">
        <w:rPr>
          <w:b w:val="0"/>
          <w:bCs w:val="0"/>
          <w:sz w:val="28"/>
          <w:szCs w:val="28"/>
        </w:rPr>
        <w:t>экономически активного населения</w:t>
      </w:r>
      <w:r w:rsidRPr="0053501B">
        <w:rPr>
          <w:b w:val="0"/>
          <w:bCs w:val="0"/>
          <w:sz w:val="28"/>
          <w:szCs w:val="28"/>
        </w:rPr>
        <w:t xml:space="preserve"> к 2023 году до </w:t>
      </w:r>
      <w:r w:rsidR="00EB210B" w:rsidRPr="0053501B">
        <w:rPr>
          <w:b w:val="0"/>
          <w:bCs w:val="0"/>
          <w:sz w:val="28"/>
          <w:szCs w:val="28"/>
        </w:rPr>
        <w:t>8,51</w:t>
      </w:r>
      <w:r w:rsidRPr="0053501B">
        <w:rPr>
          <w:b w:val="0"/>
          <w:bCs w:val="0"/>
          <w:sz w:val="28"/>
          <w:szCs w:val="28"/>
        </w:rPr>
        <w:t xml:space="preserve"> тыс. человек по базовому варианту.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По данным Тюменьстата среднесписочная численность работников по крупным и средним предприятиям, не относящимся к субъектам малого и среднего предпринимательства, за 2019 год составила 6,4 тыс. человек.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Вопросы, связанные с занятостью населения, обсуждаются на аппаратных совещаниях при главе города, а также на межведомственной комиссии по проблемам оплаты труда при администрации города Покачи.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По данным КУ «Покачевский центр занятости населения» численность граждан, обратившихся за содействием в поиске подходящей работы, за 2019 год составила 518 человек, по сравнению с аналогичным периодом 2018 года произошло снижение на 17 человек.</w:t>
      </w:r>
    </w:p>
    <w:p w:rsidR="00A96410" w:rsidRPr="0053501B" w:rsidRDefault="00A96410" w:rsidP="00A964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Граждане, обратившиеся в центр занятости населения за январь-декабрь 2019 года распределились следующим образом:</w:t>
      </w:r>
    </w:p>
    <w:p w:rsidR="00A96410" w:rsidRPr="0053501B" w:rsidRDefault="00A96410" w:rsidP="00A96410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незанятые граждане - 317 чел.;</w:t>
      </w:r>
    </w:p>
    <w:p w:rsidR="00A96410" w:rsidRPr="0053501B" w:rsidRDefault="00A96410" w:rsidP="00A96410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занятые граждане - 201 чел.</w:t>
      </w:r>
    </w:p>
    <w:p w:rsidR="00A96410" w:rsidRPr="0053501B" w:rsidRDefault="00A96410" w:rsidP="00A964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категориям:</w:t>
      </w:r>
    </w:p>
    <w:p w:rsidR="00A96410" w:rsidRPr="0053501B" w:rsidRDefault="00A96410" w:rsidP="00A96410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мужчин – 203 чел.;</w:t>
      </w:r>
    </w:p>
    <w:p w:rsidR="00A96410" w:rsidRPr="0053501B" w:rsidRDefault="00A96410" w:rsidP="00A96410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женщин – 315 чел.;</w:t>
      </w:r>
    </w:p>
    <w:p w:rsidR="00A96410" w:rsidRPr="0053501B" w:rsidRDefault="00A96410" w:rsidP="00A96410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молодежь в возрасте от 14 до 29 лет – 323 чел.;</w:t>
      </w:r>
    </w:p>
    <w:p w:rsidR="00A96410" w:rsidRPr="0053501B" w:rsidRDefault="00A96410" w:rsidP="00A96410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в возрасте от 30-54 лет – 175 чел.;</w:t>
      </w:r>
    </w:p>
    <w:p w:rsidR="00A96410" w:rsidRPr="0053501B" w:rsidRDefault="00A96410" w:rsidP="00A96410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в возрасте от 55-59 лет – 16 чел.;</w:t>
      </w:r>
    </w:p>
    <w:p w:rsidR="00A96410" w:rsidRPr="0053501B" w:rsidRDefault="00A96410" w:rsidP="00A96410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60 и старше - 4 чел.;</w:t>
      </w:r>
    </w:p>
    <w:p w:rsidR="00A96410" w:rsidRPr="0053501B" w:rsidRDefault="00A96410" w:rsidP="00A96410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предпенсионного возраста – 19 чел.;</w:t>
      </w:r>
    </w:p>
    <w:p w:rsidR="00A96410" w:rsidRPr="0053501B" w:rsidRDefault="00A96410" w:rsidP="00A96410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пенсионеры, стремящиеся возобновить трудовую деятельность – 17 чел.;</w:t>
      </w:r>
    </w:p>
    <w:p w:rsidR="00A96410" w:rsidRPr="0053501B" w:rsidRDefault="00A96410" w:rsidP="00A96410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родители, имеющие несовершеннолетних детей – 175 чел., в том числе одинокие родители - 5 чел., многодетные родители – 36 чел.</w:t>
      </w:r>
    </w:p>
    <w:p w:rsidR="00A96410" w:rsidRPr="0053501B" w:rsidRDefault="00A96410" w:rsidP="00A964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Из численности нашедших работу граждан трудоустроены:</w:t>
      </w:r>
    </w:p>
    <w:p w:rsidR="00A96410" w:rsidRPr="0053501B" w:rsidRDefault="00A96410" w:rsidP="00A96410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постоянную работу – 33 чел.;</w:t>
      </w:r>
    </w:p>
    <w:p w:rsidR="00A96410" w:rsidRPr="0053501B" w:rsidRDefault="00A96410" w:rsidP="00A96410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временную работу – 266 чел.</w:t>
      </w:r>
    </w:p>
    <w:p w:rsidR="009E6B34" w:rsidRPr="0053501B" w:rsidRDefault="009E6B34" w:rsidP="009E6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За январь-декабрь 2019 года для безработных и ищущих работу граждан было проведено 10 ярмарок вакансий рабочих мест по содействию в трудоустройстве незанятого населения, из них 8 мини-ярмарок вакансий рабочих мест.</w:t>
      </w:r>
    </w:p>
    <w:p w:rsidR="009E6B34" w:rsidRPr="0053501B" w:rsidRDefault="009E6B34" w:rsidP="009E6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Приняли участие в проведении ярмарок вакансий рабочих мест:</w:t>
      </w:r>
    </w:p>
    <w:p w:rsidR="009E6B34" w:rsidRPr="0053501B" w:rsidRDefault="009E6B34" w:rsidP="009E6B34">
      <w:pPr>
        <w:numPr>
          <w:ilvl w:val="0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количество работодателей – 24 чел.;</w:t>
      </w:r>
    </w:p>
    <w:p w:rsidR="009E6B34" w:rsidRPr="0053501B" w:rsidRDefault="009E6B34" w:rsidP="009E6B34">
      <w:pPr>
        <w:numPr>
          <w:ilvl w:val="0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количество заявленных работодателями вакансий – 78 ед.;</w:t>
      </w:r>
    </w:p>
    <w:p w:rsidR="009E6B34" w:rsidRPr="0053501B" w:rsidRDefault="009E6B34" w:rsidP="009E6B34">
      <w:pPr>
        <w:numPr>
          <w:ilvl w:val="0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численность участников ярмарок вакансий – 88 чел., из них безработных граждан – 44 чел.</w:t>
      </w:r>
    </w:p>
    <w:p w:rsidR="00E047D7" w:rsidRPr="0053501B" w:rsidRDefault="00E047D7" w:rsidP="00E047D7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За 2019 год для безработных и ищущих работу граждан было проведено 10 ярмарок вакансий рабочих мест по содействию в трудоустройстве незанятого населения (из них 8 – мини ярмарки вакансий рабочих мест.</w:t>
      </w:r>
    </w:p>
    <w:p w:rsidR="00584488" w:rsidRPr="0053501B" w:rsidRDefault="00584488" w:rsidP="00E047D7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В 2019 году потребность в работниках для замещения свободных рабочих мест (вакантных должностей) составила 71 единицу, что на 7,6% выше к уровню 2018 года. По оценке 2020 года наблюдается снижение потребности в работниках для замещения свободных рабочих мест, за период январь-сентябрь 2020 года составила 75 ед., что на 44 ед. меньше по отношению к аналогичному периоду 2019 года.</w:t>
      </w:r>
    </w:p>
    <w:p w:rsidR="0021449B" w:rsidRPr="0053501B" w:rsidRDefault="00CE72CC" w:rsidP="00CE7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конец </w:t>
      </w:r>
      <w:r w:rsidR="00C30F3E"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2019 года</w:t>
      </w: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численность безработных граждан, впервые ищущих работу (ранее не работавших) составила</w:t>
      </w:r>
      <w:r w:rsidR="00C30F3E"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10 чел</w:t>
      </w:r>
      <w:r w:rsidR="00C30F3E"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овек</w:t>
      </w: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численность безработных граждан, осуществляющих трудовую деятельность </w:t>
      </w:r>
      <w:r w:rsidR="00C30F3E"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50 чел</w:t>
      </w:r>
      <w:r w:rsidR="00C30F3E"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овек</w:t>
      </w:r>
      <w:r w:rsidRPr="0053501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E72CC" w:rsidRPr="0053501B" w:rsidRDefault="00FE32A8" w:rsidP="00862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В связи с введенным режимом повышенной готовности на территории ХМАО-Югры, связанной с распространением новой коронавирусной инфекции, вызванной </w:t>
      </w:r>
      <w:r w:rsidRPr="0053501B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53501B">
        <w:rPr>
          <w:rFonts w:ascii="Times New Roman" w:hAnsi="Times New Roman" w:cs="Times New Roman"/>
          <w:sz w:val="28"/>
          <w:szCs w:val="28"/>
        </w:rPr>
        <w:t xml:space="preserve">-19, по оценке 2020 года ожидается увеличение численности безработных, зарегистрированных в государственных учреждениях службы занятости населения </w:t>
      </w:r>
      <w:r w:rsidR="008623ED" w:rsidRPr="0053501B">
        <w:rPr>
          <w:rFonts w:ascii="Times New Roman" w:hAnsi="Times New Roman" w:cs="Times New Roman"/>
          <w:sz w:val="28"/>
          <w:szCs w:val="28"/>
        </w:rPr>
        <w:t>в 3</w:t>
      </w:r>
      <w:r w:rsidRPr="0053501B">
        <w:rPr>
          <w:rFonts w:ascii="Times New Roman" w:hAnsi="Times New Roman" w:cs="Times New Roman"/>
          <w:sz w:val="28"/>
          <w:szCs w:val="28"/>
        </w:rPr>
        <w:t xml:space="preserve"> раза, что составит предварительно </w:t>
      </w:r>
      <w:r w:rsidR="008623ED" w:rsidRPr="0053501B">
        <w:rPr>
          <w:rFonts w:ascii="Times New Roman" w:hAnsi="Times New Roman" w:cs="Times New Roman"/>
          <w:sz w:val="28"/>
          <w:szCs w:val="28"/>
        </w:rPr>
        <w:t>181</w:t>
      </w:r>
      <w:r w:rsidRPr="0053501B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623ED" w:rsidRPr="0053501B">
        <w:rPr>
          <w:rFonts w:ascii="Times New Roman" w:hAnsi="Times New Roman" w:cs="Times New Roman"/>
          <w:sz w:val="28"/>
          <w:szCs w:val="28"/>
        </w:rPr>
        <w:t>, к 2021 году – 90</w:t>
      </w:r>
      <w:r w:rsidRPr="0053501B">
        <w:rPr>
          <w:rFonts w:ascii="Times New Roman" w:hAnsi="Times New Roman" w:cs="Times New Roman"/>
          <w:sz w:val="28"/>
          <w:szCs w:val="28"/>
        </w:rPr>
        <w:t xml:space="preserve"> человек в базовом варианте.</w:t>
      </w:r>
      <w:r w:rsidR="0012612D" w:rsidRPr="00535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F70" w:rsidRPr="0053501B" w:rsidRDefault="00E65A4F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 xml:space="preserve">Уровень зарегистрированной безработицы 2019 году составил 0,6%, что на </w:t>
      </w:r>
      <w:r w:rsidR="006B26AC" w:rsidRPr="0053501B">
        <w:rPr>
          <w:b w:val="0"/>
          <w:bCs w:val="0"/>
          <w:sz w:val="28"/>
          <w:szCs w:val="28"/>
        </w:rPr>
        <w:t xml:space="preserve">0,12% меньше к уровню 2018 года. </w:t>
      </w:r>
      <w:r w:rsidRPr="0053501B">
        <w:rPr>
          <w:b w:val="0"/>
          <w:bCs w:val="0"/>
          <w:sz w:val="28"/>
          <w:szCs w:val="28"/>
        </w:rPr>
        <w:t xml:space="preserve">В </w:t>
      </w:r>
      <w:r w:rsidR="006B26AC" w:rsidRPr="0053501B">
        <w:rPr>
          <w:b w:val="0"/>
          <w:bCs w:val="0"/>
          <w:sz w:val="28"/>
          <w:szCs w:val="28"/>
        </w:rPr>
        <w:t xml:space="preserve">2020 году, </w:t>
      </w:r>
      <w:r w:rsidRPr="0053501B">
        <w:rPr>
          <w:b w:val="0"/>
          <w:bCs w:val="0"/>
          <w:sz w:val="28"/>
          <w:szCs w:val="28"/>
        </w:rPr>
        <w:t>связи с пандемией коронавируса в стране</w:t>
      </w:r>
      <w:r w:rsidR="006B26AC" w:rsidRPr="0053501B">
        <w:rPr>
          <w:b w:val="0"/>
          <w:bCs w:val="0"/>
          <w:sz w:val="28"/>
          <w:szCs w:val="28"/>
        </w:rPr>
        <w:t xml:space="preserve">, </w:t>
      </w:r>
      <w:r w:rsidR="00584488" w:rsidRPr="0053501B">
        <w:rPr>
          <w:b w:val="0"/>
          <w:bCs w:val="0"/>
          <w:sz w:val="28"/>
          <w:szCs w:val="28"/>
        </w:rPr>
        <w:t xml:space="preserve">по городу Покачи </w:t>
      </w:r>
      <w:r w:rsidR="00D70F70" w:rsidRPr="0053501B">
        <w:rPr>
          <w:b w:val="0"/>
          <w:bCs w:val="0"/>
          <w:sz w:val="28"/>
          <w:szCs w:val="28"/>
        </w:rPr>
        <w:t xml:space="preserve">ожидается увеличение данного показателя </w:t>
      </w:r>
      <w:r w:rsidR="002E3E4C" w:rsidRPr="0053501B">
        <w:rPr>
          <w:b w:val="0"/>
          <w:bCs w:val="0"/>
          <w:sz w:val="28"/>
          <w:szCs w:val="28"/>
        </w:rPr>
        <w:t xml:space="preserve">и </w:t>
      </w:r>
      <w:r w:rsidR="00D70F70" w:rsidRPr="0053501B">
        <w:rPr>
          <w:b w:val="0"/>
          <w:bCs w:val="0"/>
          <w:sz w:val="28"/>
          <w:szCs w:val="28"/>
        </w:rPr>
        <w:t xml:space="preserve">предварительно </w:t>
      </w:r>
      <w:r w:rsidR="002E3E4C" w:rsidRPr="0053501B">
        <w:rPr>
          <w:b w:val="0"/>
          <w:bCs w:val="0"/>
          <w:sz w:val="28"/>
          <w:szCs w:val="28"/>
        </w:rPr>
        <w:t xml:space="preserve">составит 2,08%, в </w:t>
      </w:r>
      <w:r w:rsidR="00BC421D" w:rsidRPr="0053501B">
        <w:rPr>
          <w:b w:val="0"/>
          <w:bCs w:val="0"/>
          <w:sz w:val="28"/>
          <w:szCs w:val="28"/>
        </w:rPr>
        <w:t>прогнозный период 2021 год – 0,96% в базовом варианте, 2023 год – 0,6% в базовом варианте.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</w:p>
    <w:p w:rsidR="005B4471" w:rsidRPr="0053501B" w:rsidRDefault="005B4471" w:rsidP="005B4471">
      <w:pPr>
        <w:pStyle w:val="2"/>
        <w:contextualSpacing/>
        <w:jc w:val="center"/>
        <w:rPr>
          <w:b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7.</w:t>
      </w:r>
      <w:r w:rsidRPr="0053501B">
        <w:rPr>
          <w:b w:val="0"/>
          <w:sz w:val="28"/>
          <w:szCs w:val="28"/>
        </w:rPr>
        <w:t xml:space="preserve"> Демография</w:t>
      </w:r>
    </w:p>
    <w:p w:rsidR="005B4471" w:rsidRPr="0053501B" w:rsidRDefault="005B4471" w:rsidP="005B4471">
      <w:pPr>
        <w:pStyle w:val="2"/>
        <w:tabs>
          <w:tab w:val="left" w:pos="810"/>
        </w:tabs>
        <w:ind w:firstLine="709"/>
        <w:contextualSpacing/>
        <w:jc w:val="left"/>
        <w:rPr>
          <w:b w:val="0"/>
          <w:sz w:val="28"/>
          <w:szCs w:val="28"/>
        </w:rPr>
      </w:pP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По данным Управления Федеральной службы государственной статистики по Тюменской области, Ханты-Мансийскому автономному округу - Югре и Ямал</w:t>
      </w:r>
      <w:r w:rsidR="00FB2C98" w:rsidRPr="0053501B">
        <w:rPr>
          <w:b w:val="0"/>
          <w:bCs w:val="0"/>
          <w:sz w:val="28"/>
          <w:szCs w:val="28"/>
        </w:rPr>
        <w:t xml:space="preserve">о-Ненецкому автономному округу </w:t>
      </w:r>
      <w:r w:rsidRPr="0053501B">
        <w:rPr>
          <w:b w:val="0"/>
          <w:bCs w:val="0"/>
          <w:sz w:val="28"/>
          <w:szCs w:val="28"/>
        </w:rPr>
        <w:t xml:space="preserve">численность постоянного населения </w:t>
      </w:r>
      <w:r w:rsidRPr="0053501B">
        <w:rPr>
          <w:b w:val="0"/>
          <w:bCs w:val="0"/>
          <w:sz w:val="28"/>
          <w:szCs w:val="28"/>
        </w:rPr>
        <w:lastRenderedPageBreak/>
        <w:t xml:space="preserve">города Покачи по состоянию на 01.01.2020 составила 18074 человек, увеличившись на 0,5% по отношению к 2019 году. Среднегодовая численность за 2019 год составила 18030 человек. В 2020 году среднегодовая численность населения города Покачи по прогнозу составит </w:t>
      </w:r>
      <w:r w:rsidR="00FB2C98" w:rsidRPr="0053501B">
        <w:rPr>
          <w:b w:val="0"/>
          <w:bCs w:val="0"/>
          <w:sz w:val="28"/>
          <w:szCs w:val="28"/>
        </w:rPr>
        <w:t xml:space="preserve">18130 </w:t>
      </w:r>
      <w:r w:rsidRPr="0053501B">
        <w:rPr>
          <w:b w:val="0"/>
          <w:bCs w:val="0"/>
          <w:sz w:val="28"/>
          <w:szCs w:val="28"/>
        </w:rPr>
        <w:t>человек с перспективой увеличения к 2023 году до 1823</w:t>
      </w:r>
      <w:r w:rsidR="00700A0C" w:rsidRPr="0053501B">
        <w:rPr>
          <w:b w:val="0"/>
          <w:bCs w:val="0"/>
          <w:sz w:val="28"/>
          <w:szCs w:val="28"/>
        </w:rPr>
        <w:t xml:space="preserve">0 </w:t>
      </w:r>
      <w:r w:rsidRPr="0053501B">
        <w:rPr>
          <w:b w:val="0"/>
          <w:bCs w:val="0"/>
          <w:sz w:val="28"/>
          <w:szCs w:val="28"/>
        </w:rPr>
        <w:t>человек по базовому варианту.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В прогнозном периоде сохранится тенденция превышения рождаемости над смертностью.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 xml:space="preserve">За истекший 2019 год родилось 235 младенца, что на 1 младенцев больше, чем за соответствующий период прошлого года. 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В 2019 году число умерших увеличилось на 8,8% по отношению к 2018 году и составило 62 человека.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 xml:space="preserve">Благодаря превышению уровня рождаемости над смертностью в 3,7 раза, естественный прирост населения за 2019 год составил 173 человека, по сравнению с 2018 годом уменьшился на 3,3%. 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Миграционная ситуация в городе отмечается неустойчивостью процессов передвижения населения, что обусловлено специфическими условиями, характерными для северных территорий.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 xml:space="preserve">Тенденция миграционной динамики населения за 2019 год характеризуется отрицательным сальдо, которое сохраняется в городе на протяжении нескольких лет и формируется в основном посредством миграционной убыли в пределах России. </w:t>
      </w:r>
      <w:r w:rsidR="00A53960" w:rsidRPr="0053501B">
        <w:rPr>
          <w:b w:val="0"/>
          <w:bCs w:val="0"/>
          <w:sz w:val="28"/>
          <w:szCs w:val="28"/>
        </w:rPr>
        <w:t>По оценке 2020 года ожидается с</w:t>
      </w:r>
      <w:r w:rsidR="00B35210" w:rsidRPr="0053501B">
        <w:rPr>
          <w:b w:val="0"/>
          <w:bCs w:val="0"/>
          <w:sz w:val="28"/>
          <w:szCs w:val="28"/>
        </w:rPr>
        <w:t xml:space="preserve">охранение отрицательного сальдо. </w:t>
      </w:r>
      <w:r w:rsidRPr="0053501B">
        <w:rPr>
          <w:b w:val="0"/>
          <w:bCs w:val="0"/>
          <w:sz w:val="28"/>
          <w:szCs w:val="28"/>
        </w:rPr>
        <w:t>Основными причинами выбытия граждан за пределы муниципального образования чаще всего являются: личные и семейные мотивы, возвращение на прежнее место жительства, смена работы, выбытие в регионы с более благоприятными климатическими условиями.</w:t>
      </w:r>
      <w:r w:rsidR="005C274B" w:rsidRPr="0053501B">
        <w:rPr>
          <w:b w:val="0"/>
          <w:bCs w:val="0"/>
          <w:sz w:val="28"/>
          <w:szCs w:val="28"/>
        </w:rPr>
        <w:t xml:space="preserve"> 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Количество прибывших граждан за 2019 год – 954 человека, число выбывших из города – 1040 человек. Миграционная убыль составила 86 человек.</w:t>
      </w:r>
      <w:r w:rsidR="007A4039" w:rsidRPr="0053501B">
        <w:rPr>
          <w:b w:val="0"/>
          <w:bCs w:val="0"/>
          <w:sz w:val="28"/>
          <w:szCs w:val="28"/>
        </w:rPr>
        <w:t xml:space="preserve"> 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Всего в миграционный оборот было вовлечено 1994 человек, или 15,4% от общей численности населения города, в аналогичном периоде 2018 года эти показатели составили 2238 человек или 12,4% от общей численности населения.</w:t>
      </w:r>
    </w:p>
    <w:p w:rsidR="005B4471" w:rsidRPr="0053501B" w:rsidRDefault="005B4471" w:rsidP="005B4471">
      <w:pPr>
        <w:tabs>
          <w:tab w:val="left" w:pos="176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4471" w:rsidRPr="0053501B" w:rsidRDefault="005B4471" w:rsidP="005B4471">
      <w:pPr>
        <w:tabs>
          <w:tab w:val="left" w:pos="176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Демографическая ситуация в 2018-2019 годы</w:t>
      </w:r>
    </w:p>
    <w:p w:rsidR="005B4471" w:rsidRPr="0053501B" w:rsidRDefault="005B4471" w:rsidP="005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noProof/>
          <w:color w:val="FF0000"/>
          <w:sz w:val="28"/>
          <w:szCs w:val="28"/>
        </w:rPr>
        <w:lastRenderedPageBreak/>
        <w:drawing>
          <wp:inline distT="0" distB="0" distL="0" distR="0" wp14:anchorId="66ADEFAE" wp14:editId="39D0D807">
            <wp:extent cx="5857875" cy="3557905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Число зарегистрированных браков в городе Покачи за 2019 год уменьшилось на 15,4% по сравнению с 2018 годом и составило 88 акта (2018 год - 104 актов). В 2019 году показатель соотношения браков и разводов остался прежним: на 1 брак приходилось 0,9 разводов.</w:t>
      </w:r>
      <w:r w:rsidR="00B35210" w:rsidRPr="0053501B">
        <w:rPr>
          <w:b w:val="0"/>
          <w:bCs w:val="0"/>
          <w:sz w:val="28"/>
          <w:szCs w:val="28"/>
        </w:rPr>
        <w:t xml:space="preserve"> </w:t>
      </w:r>
    </w:p>
    <w:p w:rsidR="005B4471" w:rsidRPr="0053501B" w:rsidRDefault="005B4471" w:rsidP="005B4471">
      <w:pPr>
        <w:pStyle w:val="2"/>
        <w:ind w:firstLine="709"/>
        <w:contextualSpacing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Анализ возрастного состава населения свидетельствует о том, что в возрастной структуре основной удельный вес в общей численности населения города занимает население в трудоспособном возрасте –60,7%, моложе трудоспособного возраста – 24,3%, старше трудоспособного возраста – 14,73%.</w:t>
      </w:r>
    </w:p>
    <w:p w:rsidR="005B4471" w:rsidRPr="0053501B" w:rsidRDefault="005B4471" w:rsidP="005B4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471" w:rsidRPr="0053501B" w:rsidRDefault="005B4471" w:rsidP="005B4471">
      <w:pPr>
        <w:pStyle w:val="2"/>
        <w:ind w:firstLine="709"/>
        <w:contextualSpacing/>
        <w:jc w:val="center"/>
        <w:rPr>
          <w:b w:val="0"/>
          <w:bCs w:val="0"/>
          <w:sz w:val="28"/>
          <w:szCs w:val="28"/>
        </w:rPr>
      </w:pPr>
      <w:r w:rsidRPr="0053501B">
        <w:rPr>
          <w:b w:val="0"/>
          <w:bCs w:val="0"/>
          <w:sz w:val="28"/>
          <w:szCs w:val="28"/>
        </w:rPr>
        <w:t>8. Бюджет муниципального образования</w:t>
      </w:r>
    </w:p>
    <w:p w:rsidR="005B4471" w:rsidRPr="0053501B" w:rsidRDefault="005B4471" w:rsidP="005B4471">
      <w:pPr>
        <w:pStyle w:val="2"/>
        <w:ind w:firstLine="709"/>
        <w:contextualSpacing/>
        <w:jc w:val="center"/>
        <w:rPr>
          <w:b w:val="0"/>
          <w:bCs w:val="0"/>
          <w:sz w:val="28"/>
          <w:szCs w:val="28"/>
        </w:rPr>
      </w:pPr>
    </w:p>
    <w:p w:rsidR="005B4471" w:rsidRPr="0053501B" w:rsidRDefault="005B4471" w:rsidP="00B3521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Согласно решению Думы города Покачи  01.11.2017 № 92 «О Положении о бюджетном устройстве и бюджетном процессе в городе Покачи» (принято Думой города Покачи 31.10.2017), бюджет города Покачи сформирован на 2020 год и на плановый период 2021 и 2022 годов.</w:t>
      </w:r>
    </w:p>
    <w:p w:rsidR="005B4471" w:rsidRPr="0053501B" w:rsidRDefault="005B4471" w:rsidP="00B35210">
      <w:pPr>
        <w:pStyle w:val="ab"/>
        <w:tabs>
          <w:tab w:val="left" w:pos="1134"/>
        </w:tabs>
        <w:ind w:firstLine="708"/>
        <w:jc w:val="both"/>
        <w:rPr>
          <w:sz w:val="28"/>
          <w:szCs w:val="28"/>
        </w:rPr>
      </w:pPr>
      <w:r w:rsidRPr="0053501B">
        <w:rPr>
          <w:sz w:val="28"/>
          <w:szCs w:val="28"/>
        </w:rPr>
        <w:t>В 2020 году и в плановом периоде 2021 и 2022 годов, как и в предыдущие годы, бюджет города ориентирован на принципы программности, сбалансированности, оптимизации расходов, открытости и ориентирован на достижение ключевой цели - повышение качества жизни населения города Покачи.</w:t>
      </w:r>
    </w:p>
    <w:p w:rsidR="005B4471" w:rsidRPr="0053501B" w:rsidRDefault="005B4471" w:rsidP="00B35210">
      <w:pPr>
        <w:pStyle w:val="ab"/>
        <w:tabs>
          <w:tab w:val="left" w:pos="1134"/>
        </w:tabs>
        <w:ind w:firstLine="708"/>
        <w:jc w:val="both"/>
        <w:rPr>
          <w:sz w:val="28"/>
          <w:szCs w:val="28"/>
        </w:rPr>
      </w:pPr>
      <w:r w:rsidRPr="0053501B">
        <w:rPr>
          <w:sz w:val="28"/>
          <w:szCs w:val="28"/>
        </w:rPr>
        <w:t xml:space="preserve">Согласно оценки исполнения, общая сумма поступлений в бюджет города Покачи в 2020 году снизится на </w:t>
      </w:r>
      <w:r w:rsidR="00B42973" w:rsidRPr="0053501B">
        <w:rPr>
          <w:sz w:val="28"/>
          <w:szCs w:val="28"/>
        </w:rPr>
        <w:t>7,6</w:t>
      </w:r>
      <w:r w:rsidRPr="0053501B">
        <w:rPr>
          <w:sz w:val="28"/>
          <w:szCs w:val="28"/>
        </w:rPr>
        <w:t xml:space="preserve">% относительно 2019 года. </w:t>
      </w:r>
    </w:p>
    <w:p w:rsidR="005B4471" w:rsidRPr="0053501B" w:rsidRDefault="005B4471" w:rsidP="00B35210">
      <w:pPr>
        <w:pStyle w:val="ab"/>
        <w:tabs>
          <w:tab w:val="left" w:pos="1134"/>
        </w:tabs>
        <w:ind w:firstLine="708"/>
        <w:jc w:val="both"/>
        <w:rPr>
          <w:sz w:val="28"/>
          <w:szCs w:val="28"/>
        </w:rPr>
      </w:pPr>
      <w:r w:rsidRPr="0053501B">
        <w:rPr>
          <w:sz w:val="28"/>
          <w:szCs w:val="28"/>
        </w:rPr>
        <w:t>В части  налоговых и неналоговых поступлений:</w:t>
      </w:r>
    </w:p>
    <w:p w:rsidR="005B4471" w:rsidRPr="0053501B" w:rsidRDefault="005B4471" w:rsidP="00D31011">
      <w:pPr>
        <w:pStyle w:val="ab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3501B">
        <w:rPr>
          <w:sz w:val="28"/>
          <w:szCs w:val="28"/>
        </w:rPr>
        <w:t xml:space="preserve">Снижение налога на доходы физических лиц на </w:t>
      </w:r>
      <w:r w:rsidR="00B42973" w:rsidRPr="0053501B">
        <w:rPr>
          <w:sz w:val="28"/>
          <w:szCs w:val="28"/>
        </w:rPr>
        <w:t>1,09</w:t>
      </w:r>
      <w:r w:rsidRPr="0053501B">
        <w:rPr>
          <w:sz w:val="28"/>
          <w:szCs w:val="28"/>
        </w:rPr>
        <w:t>% относительно 2019 года связано со следующими причинами:</w:t>
      </w:r>
    </w:p>
    <w:p w:rsidR="00B42973" w:rsidRPr="0053501B" w:rsidRDefault="00B42973" w:rsidP="00B35210">
      <w:pPr>
        <w:pStyle w:val="a5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по предварительным сведениям ,в связи с сокращением объема добычи нефти на территории города Покачи планируется приостановка деятельности двух </w:t>
      </w:r>
      <w:r w:rsidRPr="0053501B">
        <w:rPr>
          <w:rFonts w:ascii="Times New Roman" w:hAnsi="Times New Roman" w:cs="Times New Roman"/>
          <w:sz w:val="28"/>
          <w:szCs w:val="28"/>
        </w:rPr>
        <w:lastRenderedPageBreak/>
        <w:t>цеховых подразделений, что в свою очередь также приведет к сокращению объемов работы у подрядных организаций и может повлиять на динамику поступления НДФЛ;</w:t>
      </w:r>
    </w:p>
    <w:p w:rsidR="00B42973" w:rsidRPr="0053501B" w:rsidRDefault="00B42973" w:rsidP="00B35210">
      <w:pPr>
        <w:pStyle w:val="a5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согласно данным, представленным от организаций города Покачи в целях формирования проекта бюджета на 2021 год и на плановый период 2022 и 2023 год</w:t>
      </w:r>
      <w:r w:rsidR="00864EAC" w:rsidRPr="0053501B">
        <w:rPr>
          <w:rFonts w:ascii="Times New Roman" w:hAnsi="Times New Roman" w:cs="Times New Roman"/>
          <w:sz w:val="28"/>
          <w:szCs w:val="28"/>
        </w:rPr>
        <w:t>ы, в 2020 году ожидается снижени</w:t>
      </w:r>
      <w:r w:rsidRPr="0053501B">
        <w:rPr>
          <w:rFonts w:ascii="Times New Roman" w:hAnsi="Times New Roman" w:cs="Times New Roman"/>
          <w:sz w:val="28"/>
          <w:szCs w:val="28"/>
        </w:rPr>
        <w:t>е численности работников:</w:t>
      </w:r>
    </w:p>
    <w:p w:rsidR="00B42973" w:rsidRPr="0053501B" w:rsidRDefault="00864EAC" w:rsidP="00B35210">
      <w:pPr>
        <w:pStyle w:val="a5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БУ «Покачевская городская больница» указала оценку исполнения 2020 года со снижением среднесписочной численности работающих относительно 2019 года на 17 человек;</w:t>
      </w:r>
    </w:p>
    <w:p w:rsidR="00864EAC" w:rsidRPr="0053501B" w:rsidRDefault="00864EAC" w:rsidP="00B35210">
      <w:pPr>
        <w:pStyle w:val="a5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УЭЦН ООО «Лукойл ЭПУ-Сервис» указал оценка 2020 года со снижением среднесписочной численности работающих относительно 2019 года на 8 человек;</w:t>
      </w:r>
    </w:p>
    <w:p w:rsidR="00864EAC" w:rsidRPr="0053501B" w:rsidRDefault="00864EAC" w:rsidP="00B35210">
      <w:pPr>
        <w:pStyle w:val="a5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ООО «Лангепасско-Покачевское нефтепромысловое оборудование – Сервис» указала оценку 2020 года со снижением среднесписочной численности работающих относительно 2019 года на 6 человек;</w:t>
      </w:r>
    </w:p>
    <w:p w:rsidR="00864EAC" w:rsidRPr="0053501B" w:rsidRDefault="00864EAC" w:rsidP="00B35210">
      <w:pPr>
        <w:pStyle w:val="a5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ООО «Покачевторгнефть» указало оценку 2020 года о снижении среднесписочной численности работающих относительно 2019 года на 18 человек;</w:t>
      </w:r>
    </w:p>
    <w:p w:rsidR="00864EAC" w:rsidRPr="0053501B" w:rsidRDefault="00864EAC" w:rsidP="00B35210">
      <w:pPr>
        <w:pStyle w:val="a5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ООО «Лангепасско-Покачевское управление ремонта скважин» указало оценку 2020 года о снижении среднесписочной численности работающих относительно 2019 года на 35 человек;</w:t>
      </w:r>
    </w:p>
    <w:p w:rsidR="00864EAC" w:rsidRPr="0053501B" w:rsidRDefault="00864EAC" w:rsidP="00B35210">
      <w:pPr>
        <w:pStyle w:val="a5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решением Думы города Покачи от 25.09.2019 №55 принято решение о полной замене дотации на выравнивание бюджетной обеспеченности муниципальных районов (городских округов) дополнительными нормативами отчислений от налога на доходы физических лиц на 2020 год и на плановый период 2021 и 2022 годов. Совокупно процент отчислений от НДФЛ в части 2020 года составит 89,03%, где: 35,5% основной норматив, 53,53% - дополнительный норматив, при этом в 2019 году совокупно составлял 91,12%. </w:t>
      </w:r>
    </w:p>
    <w:p w:rsidR="00D31011" w:rsidRPr="0053501B" w:rsidRDefault="00864EAC" w:rsidP="00D31011">
      <w:pPr>
        <w:pStyle w:val="a5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Снижение поступлений (по данным ГАБД в лице МИФНС) налога от уплаты упрощенной системы налогообложения в 2020 году на 6,28% относительно 2019 год, складывается в связ</w:t>
      </w:r>
      <w:r w:rsidR="00D31011" w:rsidRPr="0053501B">
        <w:rPr>
          <w:rFonts w:ascii="Times New Roman" w:hAnsi="Times New Roman" w:cs="Times New Roman"/>
          <w:sz w:val="28"/>
          <w:szCs w:val="28"/>
        </w:rPr>
        <w:t>и с неуплатой текущих платежей;</w:t>
      </w:r>
    </w:p>
    <w:p w:rsidR="00D31011" w:rsidRPr="0053501B" w:rsidRDefault="00864EAC" w:rsidP="00D31011">
      <w:pPr>
        <w:pStyle w:val="a5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Снижение поступления земельного налога в 2020 году на 8% относительно 2019 года </w:t>
      </w:r>
      <w:r w:rsidR="00D83990" w:rsidRPr="0053501B">
        <w:rPr>
          <w:rFonts w:ascii="Times New Roman" w:hAnsi="Times New Roman" w:cs="Times New Roman"/>
          <w:sz w:val="28"/>
          <w:szCs w:val="28"/>
        </w:rPr>
        <w:t>объясняется пересмотром кадастровой стоимости земельн</w:t>
      </w:r>
      <w:r w:rsidR="00D31011" w:rsidRPr="0053501B">
        <w:rPr>
          <w:rFonts w:ascii="Times New Roman" w:hAnsi="Times New Roman" w:cs="Times New Roman"/>
          <w:sz w:val="28"/>
          <w:szCs w:val="28"/>
        </w:rPr>
        <w:t>ых участков в судебном порядке;</w:t>
      </w:r>
    </w:p>
    <w:p w:rsidR="00D83990" w:rsidRPr="0053501B" w:rsidRDefault="00D83990" w:rsidP="00D31011">
      <w:pPr>
        <w:pStyle w:val="a5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 xml:space="preserve">В части безвозмездных поступлений доходов в бюджет города Покачи снижение составит 12,34% и складывается за счет поступлений в виде дотаций городу Покачи на 88,84% в связи с изменением механизма распределения дотаций. </w:t>
      </w:r>
    </w:p>
    <w:p w:rsidR="005B4471" w:rsidRPr="0053501B" w:rsidRDefault="00D83990" w:rsidP="00B35210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 бюджет города Покачи на 2020 год и на плановый 2021 и 2022 годов сформирован в структуре муниципальных программ и непрограммных направлений деятельности. Всего в муниципальном образовании реализуется 27 муниципальных программ. В бюджете города финансовое обеспечение предусмотрено на 26 муниципальную программу. Доля расходов бюджет</w:t>
      </w:r>
      <w:r w:rsidR="005B4471" w:rsidRPr="0053501B">
        <w:rPr>
          <w:rFonts w:ascii="Times New Roman" w:hAnsi="Times New Roman" w:cs="Times New Roman"/>
          <w:sz w:val="28"/>
          <w:szCs w:val="28"/>
        </w:rPr>
        <w:t xml:space="preserve">а муниципального образования запланированных программно-целевым методом в </w:t>
      </w:r>
      <w:r w:rsidR="005B4471" w:rsidRPr="0053501B">
        <w:rPr>
          <w:rFonts w:ascii="Times New Roman" w:hAnsi="Times New Roman" w:cs="Times New Roman"/>
          <w:sz w:val="28"/>
          <w:szCs w:val="28"/>
        </w:rPr>
        <w:lastRenderedPageBreak/>
        <w:t xml:space="preserve">общей сумме расходов бюджета в 2019 году составила 99,8%. На 2020 год расходы бюджета города сформированы и запланированы более чем на 99% в структуре муниципальных программ. </w:t>
      </w:r>
    </w:p>
    <w:p w:rsidR="005B4471" w:rsidRPr="0053501B" w:rsidRDefault="005B4471" w:rsidP="00B35210">
      <w:pPr>
        <w:pStyle w:val="ab"/>
        <w:tabs>
          <w:tab w:val="left" w:pos="1134"/>
        </w:tabs>
        <w:ind w:firstLine="708"/>
        <w:jc w:val="both"/>
        <w:rPr>
          <w:sz w:val="28"/>
          <w:szCs w:val="28"/>
        </w:rPr>
      </w:pPr>
      <w:r w:rsidRPr="0053501B">
        <w:rPr>
          <w:sz w:val="28"/>
          <w:szCs w:val="28"/>
        </w:rPr>
        <w:t>Ежегодно в структуре расходов местного бюджета города Покачи не менее 45% направляются на образование, более 20% направляется на решение общегосударственных вопросов и вопросов национальной экономики, 10% - на жилищно-коммунальное хозяйство, около 5% занимают расходы на национальную экономику, более 20% расходуются средства на физкультуру и спорт, на культуру и на социальную политику, около 2 % занимают расходы на национальную безопасность, СМИ и обслуживание муниципального долга.</w:t>
      </w:r>
    </w:p>
    <w:p w:rsidR="005B4471" w:rsidRPr="0053501B" w:rsidRDefault="005B4471" w:rsidP="00B35210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Главный приоритет, заложенный в основу бюджета города Покачи на 2020 год и на плановый период 2021 и 2022 годов, это обеспечение устойчивости и сбалансированности бюджетной системы города в среднесрочном периоде, концентрация ресурсов на приоритетных направлениях расходов, предусмотренных муниципальными программами, сохранение социальной направленности бюджета, обеспечивающей повышение качества жизни граждан города Покачи.</w:t>
      </w:r>
    </w:p>
    <w:p w:rsidR="005B4471" w:rsidRPr="0053501B" w:rsidRDefault="005B4471" w:rsidP="00B35210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Основными задачами налоговой и бюджетной политики является:</w:t>
      </w:r>
    </w:p>
    <w:p w:rsidR="005B4471" w:rsidRPr="0053501B" w:rsidRDefault="005B4471" w:rsidP="00D31011">
      <w:pPr>
        <w:pStyle w:val="a5"/>
        <w:numPr>
          <w:ilvl w:val="0"/>
          <w:numId w:val="40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принятие мер, направленных на увеличение доходной базы муниципального образования;</w:t>
      </w:r>
    </w:p>
    <w:p w:rsidR="005B4471" w:rsidRPr="0053501B" w:rsidRDefault="005B4471" w:rsidP="00D31011">
      <w:pPr>
        <w:pStyle w:val="a5"/>
        <w:numPr>
          <w:ilvl w:val="0"/>
          <w:numId w:val="40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сдерживание роста бюджетных расходов путем исключения низкоэффективных и не дающих эффекта в будущем затрат, установление актуальных приоритетов бюджета муниципального образования;</w:t>
      </w:r>
    </w:p>
    <w:p w:rsidR="005B4471" w:rsidRPr="0053501B" w:rsidRDefault="005B4471" w:rsidP="00D31011">
      <w:pPr>
        <w:pStyle w:val="a5"/>
        <w:numPr>
          <w:ilvl w:val="0"/>
          <w:numId w:val="40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повышение эффективности и результативности применения программно – целевого метода управления финансами;</w:t>
      </w:r>
    </w:p>
    <w:p w:rsidR="005B4471" w:rsidRPr="0053501B" w:rsidRDefault="005B4471" w:rsidP="00D31011">
      <w:pPr>
        <w:pStyle w:val="a5"/>
        <w:numPr>
          <w:ilvl w:val="0"/>
          <w:numId w:val="40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повышение эффективности муниципальных услуг;</w:t>
      </w:r>
    </w:p>
    <w:p w:rsidR="005B4471" w:rsidRPr="0053501B" w:rsidRDefault="005B4471" w:rsidP="00D31011">
      <w:pPr>
        <w:pStyle w:val="a5"/>
        <w:numPr>
          <w:ilvl w:val="0"/>
          <w:numId w:val="40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соблюдение принципа нуждаемости при установлении гарантий и компенсаций работникам муниципальных учреждений и органов местного самоуправления;</w:t>
      </w:r>
    </w:p>
    <w:p w:rsidR="005B4471" w:rsidRPr="0053501B" w:rsidRDefault="005B4471" w:rsidP="00D31011">
      <w:pPr>
        <w:pStyle w:val="a5"/>
        <w:numPr>
          <w:ilvl w:val="0"/>
          <w:numId w:val="40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обеспечение открытости  и прозрачности бюджетного процесса;</w:t>
      </w:r>
    </w:p>
    <w:p w:rsidR="005B4471" w:rsidRPr="0053501B" w:rsidRDefault="005B4471" w:rsidP="00D31011">
      <w:pPr>
        <w:pStyle w:val="a5"/>
        <w:numPr>
          <w:ilvl w:val="0"/>
          <w:numId w:val="40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совершенствование нормативно – правовой базы, регламентирующей бюджетный процесс;</w:t>
      </w:r>
    </w:p>
    <w:p w:rsidR="005B4471" w:rsidRPr="0053501B" w:rsidRDefault="005B4471" w:rsidP="00D31011">
      <w:pPr>
        <w:pStyle w:val="a5"/>
        <w:numPr>
          <w:ilvl w:val="0"/>
          <w:numId w:val="40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обеспечение выполнение Указов Президента Российской Федерации;</w:t>
      </w:r>
    </w:p>
    <w:p w:rsidR="005B4471" w:rsidRPr="0053501B" w:rsidRDefault="005B4471" w:rsidP="00D31011">
      <w:pPr>
        <w:pStyle w:val="a5"/>
        <w:numPr>
          <w:ilvl w:val="0"/>
          <w:numId w:val="40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01B">
        <w:rPr>
          <w:rFonts w:ascii="Times New Roman" w:hAnsi="Times New Roman" w:cs="Times New Roman"/>
          <w:sz w:val="28"/>
          <w:szCs w:val="28"/>
        </w:rPr>
        <w:t>привлечение средств вышестоящих бюджетов в качестве софинансирования к расходам городского бюджета.</w:t>
      </w:r>
    </w:p>
    <w:p w:rsidR="005B4471" w:rsidRPr="0053501B" w:rsidRDefault="005B4471" w:rsidP="00B35210">
      <w:pPr>
        <w:pStyle w:val="ab"/>
        <w:tabs>
          <w:tab w:val="left" w:pos="1134"/>
        </w:tabs>
        <w:ind w:firstLine="708"/>
        <w:jc w:val="both"/>
        <w:rPr>
          <w:sz w:val="28"/>
          <w:szCs w:val="28"/>
        </w:rPr>
      </w:pPr>
      <w:r w:rsidRPr="0053501B">
        <w:rPr>
          <w:sz w:val="28"/>
          <w:szCs w:val="28"/>
        </w:rPr>
        <w:t>Бюджетная политика в области управления муниципальным долгом в 2020 году и в плановом периоде 2021 - 2022 годов строится на принципах безусловного исполнения и обслуживания принятых долговых обязательств в полном объеме и в установленные сроки.</w:t>
      </w:r>
    </w:p>
    <w:p w:rsidR="005B4471" w:rsidRPr="0053501B" w:rsidRDefault="005B4471" w:rsidP="00B35210">
      <w:pPr>
        <w:pStyle w:val="ab"/>
        <w:tabs>
          <w:tab w:val="left" w:pos="1134"/>
        </w:tabs>
        <w:ind w:firstLine="708"/>
        <w:jc w:val="both"/>
        <w:rPr>
          <w:sz w:val="28"/>
          <w:szCs w:val="28"/>
        </w:rPr>
      </w:pPr>
      <w:r w:rsidRPr="0053501B">
        <w:rPr>
          <w:sz w:val="28"/>
          <w:szCs w:val="28"/>
        </w:rPr>
        <w:t>Реализация целей и задач, предусмотренных основными направлениями бюджетной, налоговой и долговой политики в 2020 году осуществляется в условиях дефицита городского бюджета,</w:t>
      </w:r>
      <w:r w:rsidR="00D83990" w:rsidRPr="0053501B">
        <w:rPr>
          <w:sz w:val="28"/>
          <w:szCs w:val="28"/>
        </w:rPr>
        <w:t xml:space="preserve"> оценка на 2020 год составит 117,6</w:t>
      </w:r>
      <w:r w:rsidRPr="0053501B">
        <w:rPr>
          <w:sz w:val="28"/>
          <w:szCs w:val="28"/>
        </w:rPr>
        <w:t xml:space="preserve"> млн. руб., в том числе 83,7 млн.</w:t>
      </w:r>
      <w:r w:rsidR="00D31011" w:rsidRPr="0053501B">
        <w:rPr>
          <w:sz w:val="28"/>
          <w:szCs w:val="28"/>
        </w:rPr>
        <w:t xml:space="preserve"> </w:t>
      </w:r>
      <w:r w:rsidRPr="0053501B">
        <w:rPr>
          <w:sz w:val="28"/>
          <w:szCs w:val="28"/>
        </w:rPr>
        <w:t>руб. остатки бюджетных средств на начало года.</w:t>
      </w:r>
    </w:p>
    <w:p w:rsidR="005B4471" w:rsidRPr="00B35210" w:rsidRDefault="005B4471" w:rsidP="00B35210">
      <w:pPr>
        <w:pStyle w:val="ab"/>
        <w:tabs>
          <w:tab w:val="left" w:pos="1134"/>
        </w:tabs>
        <w:ind w:firstLine="708"/>
        <w:jc w:val="both"/>
        <w:rPr>
          <w:sz w:val="28"/>
          <w:szCs w:val="28"/>
        </w:rPr>
      </w:pPr>
      <w:r w:rsidRPr="0053501B">
        <w:rPr>
          <w:sz w:val="28"/>
          <w:szCs w:val="28"/>
        </w:rPr>
        <w:lastRenderedPageBreak/>
        <w:t>Муниципальный долг в 2020 году планируется в размере 33,9 млн. руб.</w:t>
      </w:r>
      <w:r w:rsidR="00D83990" w:rsidRPr="0053501B">
        <w:rPr>
          <w:sz w:val="28"/>
          <w:szCs w:val="28"/>
        </w:rPr>
        <w:t xml:space="preserve">, что не превышает 10% от собственных (налоговых и неналоговых) доходов бюджета, без учета объема </w:t>
      </w:r>
      <w:r w:rsidRPr="0053501B">
        <w:rPr>
          <w:sz w:val="28"/>
          <w:szCs w:val="28"/>
        </w:rPr>
        <w:t>безвозмездных поступлений и (или) поступлений налоговых доходов по дополнительным нор</w:t>
      </w:r>
      <w:r w:rsidR="001C298D" w:rsidRPr="0053501B">
        <w:rPr>
          <w:sz w:val="28"/>
          <w:szCs w:val="28"/>
        </w:rPr>
        <w:t xml:space="preserve">мативам отчислений </w:t>
      </w:r>
      <w:r w:rsidRPr="0053501B">
        <w:rPr>
          <w:sz w:val="28"/>
          <w:szCs w:val="28"/>
        </w:rPr>
        <w:t>от налога на доходы физических ли</w:t>
      </w:r>
      <w:r w:rsidR="001C298D" w:rsidRPr="0053501B">
        <w:rPr>
          <w:sz w:val="28"/>
          <w:szCs w:val="28"/>
        </w:rPr>
        <w:t>ц (далее – собственные доходы)</w:t>
      </w:r>
      <w:r w:rsidRPr="0053501B">
        <w:rPr>
          <w:sz w:val="28"/>
          <w:szCs w:val="28"/>
        </w:rPr>
        <w:t>.</w:t>
      </w:r>
      <w:r w:rsidR="001C298D" w:rsidRPr="0053501B">
        <w:rPr>
          <w:sz w:val="28"/>
          <w:szCs w:val="28"/>
        </w:rPr>
        <w:t xml:space="preserve"> В бюджетном цикле 2021-2023 годов размер муниципального долга ежегодно планируется в консервативном варианте 68,2 млн. руб., что ежегодно не превышает 20% собственных доходов и находится на безопасном для бюджета муниципального образования уровне.</w:t>
      </w:r>
    </w:p>
    <w:sectPr w:rsidR="005B4471" w:rsidRPr="00B35210" w:rsidSect="0055157A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567" w:right="849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13B" w:rsidRDefault="000B713B" w:rsidP="00EE5F39">
      <w:pPr>
        <w:spacing w:after="0" w:line="240" w:lineRule="auto"/>
      </w:pPr>
      <w:r>
        <w:separator/>
      </w:r>
    </w:p>
  </w:endnote>
  <w:endnote w:type="continuationSeparator" w:id="0">
    <w:p w:rsidR="000B713B" w:rsidRDefault="000B713B" w:rsidP="00EE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3B" w:rsidRDefault="000B713B">
    <w:pPr>
      <w:pStyle w:val="a8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B713B" w:rsidRDefault="000B713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3B" w:rsidRDefault="000B713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13B" w:rsidRDefault="000B713B" w:rsidP="00EE5F39">
      <w:pPr>
        <w:spacing w:after="0" w:line="240" w:lineRule="auto"/>
      </w:pPr>
      <w:r>
        <w:separator/>
      </w:r>
    </w:p>
  </w:footnote>
  <w:footnote w:type="continuationSeparator" w:id="0">
    <w:p w:rsidR="000B713B" w:rsidRDefault="000B713B" w:rsidP="00EE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3B" w:rsidRDefault="000B713B" w:rsidP="00154CE9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B713B" w:rsidRDefault="000B713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6212979"/>
      <w:docPartObj>
        <w:docPartGallery w:val="Page Numbers (Top of Page)"/>
        <w:docPartUnique/>
      </w:docPartObj>
    </w:sdtPr>
    <w:sdtEndPr/>
    <w:sdtContent>
      <w:p w:rsidR="000B713B" w:rsidRDefault="000B713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213">
          <w:rPr>
            <w:noProof/>
          </w:rPr>
          <w:t>12</w:t>
        </w:r>
        <w:r>
          <w:fldChar w:fldCharType="end"/>
        </w:r>
      </w:p>
    </w:sdtContent>
  </w:sdt>
  <w:p w:rsidR="000B713B" w:rsidRPr="000B713B" w:rsidRDefault="000B713B" w:rsidP="000B713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1BF18A0"/>
    <w:multiLevelType w:val="hybridMultilevel"/>
    <w:tmpl w:val="7C2282E4"/>
    <w:lvl w:ilvl="0" w:tplc="C348339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20D8C"/>
    <w:multiLevelType w:val="hybridMultilevel"/>
    <w:tmpl w:val="BB6240A6"/>
    <w:lvl w:ilvl="0" w:tplc="ABD827F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8C924C9"/>
    <w:multiLevelType w:val="hybridMultilevel"/>
    <w:tmpl w:val="D2D84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815D8"/>
    <w:multiLevelType w:val="hybridMultilevel"/>
    <w:tmpl w:val="62D86D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1C26625"/>
    <w:multiLevelType w:val="hybridMultilevel"/>
    <w:tmpl w:val="13B08BF2"/>
    <w:lvl w:ilvl="0" w:tplc="E56C0B62">
      <w:start w:val="1"/>
      <w:numFmt w:val="decimal"/>
      <w:lvlText w:val="%1."/>
      <w:lvlJc w:val="left"/>
      <w:pPr>
        <w:ind w:left="2175" w:hanging="14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73B57E8"/>
    <w:multiLevelType w:val="hybridMultilevel"/>
    <w:tmpl w:val="49A244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4B5B66"/>
    <w:multiLevelType w:val="hybridMultilevel"/>
    <w:tmpl w:val="4378C2F6"/>
    <w:lvl w:ilvl="0" w:tplc="8F646D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0C7468"/>
    <w:multiLevelType w:val="hybridMultilevel"/>
    <w:tmpl w:val="1346A9DE"/>
    <w:lvl w:ilvl="0" w:tplc="FD88D31A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25970FD"/>
    <w:multiLevelType w:val="hybridMultilevel"/>
    <w:tmpl w:val="2EF27554"/>
    <w:lvl w:ilvl="0" w:tplc="8F646D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32740A1"/>
    <w:multiLevelType w:val="hybridMultilevel"/>
    <w:tmpl w:val="2E8E4CF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7EF405A"/>
    <w:multiLevelType w:val="hybridMultilevel"/>
    <w:tmpl w:val="86200970"/>
    <w:lvl w:ilvl="0" w:tplc="9912A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8BC72E1"/>
    <w:multiLevelType w:val="hybridMultilevel"/>
    <w:tmpl w:val="00CE5B5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96242EF"/>
    <w:multiLevelType w:val="hybridMultilevel"/>
    <w:tmpl w:val="79182EFC"/>
    <w:lvl w:ilvl="0" w:tplc="B034528E">
      <w:start w:val="1"/>
      <w:numFmt w:val="decimal"/>
      <w:lvlText w:val="%1."/>
      <w:lvlJc w:val="left"/>
      <w:pPr>
        <w:ind w:left="1744" w:hanging="10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ECD216A"/>
    <w:multiLevelType w:val="hybridMultilevel"/>
    <w:tmpl w:val="3AA4EDD2"/>
    <w:lvl w:ilvl="0" w:tplc="8F646D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FDB1C14"/>
    <w:multiLevelType w:val="hybridMultilevel"/>
    <w:tmpl w:val="4FCA6C5E"/>
    <w:lvl w:ilvl="0" w:tplc="81CAA6D2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AD53F5C"/>
    <w:multiLevelType w:val="hybridMultilevel"/>
    <w:tmpl w:val="C700F0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B793E66"/>
    <w:multiLevelType w:val="hybridMultilevel"/>
    <w:tmpl w:val="2284A40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8326042"/>
    <w:multiLevelType w:val="hybridMultilevel"/>
    <w:tmpl w:val="78328778"/>
    <w:lvl w:ilvl="0" w:tplc="8F646D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04062E7"/>
    <w:multiLevelType w:val="hybridMultilevel"/>
    <w:tmpl w:val="10B2F076"/>
    <w:lvl w:ilvl="0" w:tplc="8F646D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2C80691"/>
    <w:multiLevelType w:val="hybridMultilevel"/>
    <w:tmpl w:val="180CD3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BE7A48"/>
    <w:multiLevelType w:val="hybridMultilevel"/>
    <w:tmpl w:val="F91084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C61AB4"/>
    <w:multiLevelType w:val="hybridMultilevel"/>
    <w:tmpl w:val="2146F268"/>
    <w:lvl w:ilvl="0" w:tplc="8F646DD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58015AFA"/>
    <w:multiLevelType w:val="hybridMultilevel"/>
    <w:tmpl w:val="C8609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200F08"/>
    <w:multiLevelType w:val="hybridMultilevel"/>
    <w:tmpl w:val="9444780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1456572"/>
    <w:multiLevelType w:val="hybridMultilevel"/>
    <w:tmpl w:val="3796FFA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6241298A"/>
    <w:multiLevelType w:val="hybridMultilevel"/>
    <w:tmpl w:val="84505B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4531580"/>
    <w:multiLevelType w:val="hybridMultilevel"/>
    <w:tmpl w:val="F4308E3A"/>
    <w:lvl w:ilvl="0" w:tplc="4E185F12">
      <w:start w:val="1"/>
      <w:numFmt w:val="bullet"/>
      <w:lvlText w:val="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9">
    <w:nsid w:val="65066AAC"/>
    <w:multiLevelType w:val="hybridMultilevel"/>
    <w:tmpl w:val="8C4E0AF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>
    <w:nsid w:val="65332D6F"/>
    <w:multiLevelType w:val="hybridMultilevel"/>
    <w:tmpl w:val="6EA08DC8"/>
    <w:lvl w:ilvl="0" w:tplc="8F646D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C8D34E1"/>
    <w:multiLevelType w:val="hybridMultilevel"/>
    <w:tmpl w:val="ACA2629C"/>
    <w:lvl w:ilvl="0" w:tplc="8F646D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CEA22D4"/>
    <w:multiLevelType w:val="hybridMultilevel"/>
    <w:tmpl w:val="D188E740"/>
    <w:lvl w:ilvl="0" w:tplc="8E5E563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C00868"/>
    <w:multiLevelType w:val="hybridMultilevel"/>
    <w:tmpl w:val="235E3A36"/>
    <w:lvl w:ilvl="0" w:tplc="330017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0FA7BED"/>
    <w:multiLevelType w:val="hybridMultilevel"/>
    <w:tmpl w:val="2388A1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30566AD"/>
    <w:multiLevelType w:val="hybridMultilevel"/>
    <w:tmpl w:val="99003EF0"/>
    <w:lvl w:ilvl="0" w:tplc="8F646DD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799E06F8"/>
    <w:multiLevelType w:val="hybridMultilevel"/>
    <w:tmpl w:val="830246B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>
    <w:nsid w:val="7E415B77"/>
    <w:multiLevelType w:val="hybridMultilevel"/>
    <w:tmpl w:val="1D4EBA2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>
    <w:nsid w:val="7E444D74"/>
    <w:multiLevelType w:val="hybridMultilevel"/>
    <w:tmpl w:val="A44A3A86"/>
    <w:lvl w:ilvl="0" w:tplc="715AE85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EE4EE1"/>
    <w:multiLevelType w:val="hybridMultilevel"/>
    <w:tmpl w:val="B12C63C4"/>
    <w:lvl w:ilvl="0" w:tplc="2BC481B2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13"/>
  </w:num>
  <w:num w:numId="7">
    <w:abstractNumId w:val="5"/>
  </w:num>
  <w:num w:numId="8">
    <w:abstractNumId w:val="37"/>
  </w:num>
  <w:num w:numId="9">
    <w:abstractNumId w:val="16"/>
  </w:num>
  <w:num w:numId="10">
    <w:abstractNumId w:val="27"/>
  </w:num>
  <w:num w:numId="11">
    <w:abstractNumId w:val="18"/>
  </w:num>
  <w:num w:numId="12">
    <w:abstractNumId w:val="38"/>
  </w:num>
  <w:num w:numId="13">
    <w:abstractNumId w:val="25"/>
  </w:num>
  <w:num w:numId="14">
    <w:abstractNumId w:val="39"/>
  </w:num>
  <w:num w:numId="15">
    <w:abstractNumId w:val="32"/>
  </w:num>
  <w:num w:numId="16">
    <w:abstractNumId w:val="17"/>
  </w:num>
  <w:num w:numId="17">
    <w:abstractNumId w:val="24"/>
  </w:num>
  <w:num w:numId="18">
    <w:abstractNumId w:val="12"/>
  </w:num>
  <w:num w:numId="19">
    <w:abstractNumId w:val="11"/>
  </w:num>
  <w:num w:numId="20">
    <w:abstractNumId w:val="34"/>
  </w:num>
  <w:num w:numId="21">
    <w:abstractNumId w:val="33"/>
  </w:num>
  <w:num w:numId="22">
    <w:abstractNumId w:val="2"/>
  </w:num>
  <w:num w:numId="23">
    <w:abstractNumId w:val="6"/>
  </w:num>
  <w:num w:numId="24">
    <w:abstractNumId w:val="35"/>
  </w:num>
  <w:num w:numId="25">
    <w:abstractNumId w:val="23"/>
  </w:num>
  <w:num w:numId="26">
    <w:abstractNumId w:val="21"/>
  </w:num>
  <w:num w:numId="27">
    <w:abstractNumId w:val="20"/>
  </w:num>
  <w:num w:numId="28">
    <w:abstractNumId w:val="15"/>
  </w:num>
  <w:num w:numId="29">
    <w:abstractNumId w:val="8"/>
  </w:num>
  <w:num w:numId="30">
    <w:abstractNumId w:val="29"/>
  </w:num>
  <w:num w:numId="31">
    <w:abstractNumId w:val="28"/>
  </w:num>
  <w:num w:numId="32">
    <w:abstractNumId w:val="22"/>
  </w:num>
  <w:num w:numId="33">
    <w:abstractNumId w:val="10"/>
  </w:num>
  <w:num w:numId="34">
    <w:abstractNumId w:val="30"/>
  </w:num>
  <w:num w:numId="35">
    <w:abstractNumId w:val="19"/>
  </w:num>
  <w:num w:numId="36">
    <w:abstractNumId w:val="26"/>
  </w:num>
  <w:num w:numId="37">
    <w:abstractNumId w:val="36"/>
  </w:num>
  <w:num w:numId="38">
    <w:abstractNumId w:val="14"/>
  </w:num>
  <w:num w:numId="39">
    <w:abstractNumId w:val="4"/>
  </w:num>
  <w:num w:numId="40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1C33"/>
    <w:rsid w:val="00006929"/>
    <w:rsid w:val="000074B8"/>
    <w:rsid w:val="000205E5"/>
    <w:rsid w:val="00034CEF"/>
    <w:rsid w:val="00040725"/>
    <w:rsid w:val="00062DA4"/>
    <w:rsid w:val="00067435"/>
    <w:rsid w:val="00076492"/>
    <w:rsid w:val="00077FC1"/>
    <w:rsid w:val="00093774"/>
    <w:rsid w:val="00094729"/>
    <w:rsid w:val="000A3218"/>
    <w:rsid w:val="000B2ED0"/>
    <w:rsid w:val="000B3C11"/>
    <w:rsid w:val="000B713B"/>
    <w:rsid w:val="000C3AA9"/>
    <w:rsid w:val="000C4EBA"/>
    <w:rsid w:val="000E0EBA"/>
    <w:rsid w:val="000E5CAB"/>
    <w:rsid w:val="000F21C9"/>
    <w:rsid w:val="00100F5B"/>
    <w:rsid w:val="00101522"/>
    <w:rsid w:val="001055A7"/>
    <w:rsid w:val="00105DC6"/>
    <w:rsid w:val="00107177"/>
    <w:rsid w:val="001225D8"/>
    <w:rsid w:val="00123FC8"/>
    <w:rsid w:val="0012612D"/>
    <w:rsid w:val="0012630F"/>
    <w:rsid w:val="001314DE"/>
    <w:rsid w:val="001403BF"/>
    <w:rsid w:val="00146E31"/>
    <w:rsid w:val="00154CE9"/>
    <w:rsid w:val="001617AA"/>
    <w:rsid w:val="001649E7"/>
    <w:rsid w:val="00171458"/>
    <w:rsid w:val="001906F4"/>
    <w:rsid w:val="00191680"/>
    <w:rsid w:val="001A0CD5"/>
    <w:rsid w:val="001C034E"/>
    <w:rsid w:val="001C0D5C"/>
    <w:rsid w:val="001C298D"/>
    <w:rsid w:val="001C3D90"/>
    <w:rsid w:val="001C44E9"/>
    <w:rsid w:val="001C6332"/>
    <w:rsid w:val="001D2DDA"/>
    <w:rsid w:val="001D71A0"/>
    <w:rsid w:val="001D7986"/>
    <w:rsid w:val="001E0187"/>
    <w:rsid w:val="001E03D7"/>
    <w:rsid w:val="001E7E8E"/>
    <w:rsid w:val="001F4CD7"/>
    <w:rsid w:val="001F4DFA"/>
    <w:rsid w:val="001F6734"/>
    <w:rsid w:val="0020002B"/>
    <w:rsid w:val="00210DB4"/>
    <w:rsid w:val="0021449B"/>
    <w:rsid w:val="00230F3E"/>
    <w:rsid w:val="00234590"/>
    <w:rsid w:val="00240F33"/>
    <w:rsid w:val="002471EF"/>
    <w:rsid w:val="0025176D"/>
    <w:rsid w:val="002605B1"/>
    <w:rsid w:val="002743C9"/>
    <w:rsid w:val="00276E1C"/>
    <w:rsid w:val="002821FA"/>
    <w:rsid w:val="002863C9"/>
    <w:rsid w:val="00296DE9"/>
    <w:rsid w:val="002A241E"/>
    <w:rsid w:val="002B688C"/>
    <w:rsid w:val="002C3C11"/>
    <w:rsid w:val="002D18CC"/>
    <w:rsid w:val="002D40C1"/>
    <w:rsid w:val="002E355F"/>
    <w:rsid w:val="002E3E4C"/>
    <w:rsid w:val="002F1739"/>
    <w:rsid w:val="002F3C42"/>
    <w:rsid w:val="003047C2"/>
    <w:rsid w:val="00304E37"/>
    <w:rsid w:val="0031511B"/>
    <w:rsid w:val="00315761"/>
    <w:rsid w:val="0032324A"/>
    <w:rsid w:val="00326E14"/>
    <w:rsid w:val="003414E4"/>
    <w:rsid w:val="003450BC"/>
    <w:rsid w:val="00361009"/>
    <w:rsid w:val="00365774"/>
    <w:rsid w:val="003831A6"/>
    <w:rsid w:val="00393F40"/>
    <w:rsid w:val="003A5BD0"/>
    <w:rsid w:val="003B0F3E"/>
    <w:rsid w:val="003B2008"/>
    <w:rsid w:val="003C208B"/>
    <w:rsid w:val="003E53E8"/>
    <w:rsid w:val="00405D62"/>
    <w:rsid w:val="004166A4"/>
    <w:rsid w:val="00422B49"/>
    <w:rsid w:val="004241BD"/>
    <w:rsid w:val="004364C8"/>
    <w:rsid w:val="00453C98"/>
    <w:rsid w:val="00476E20"/>
    <w:rsid w:val="00484B9C"/>
    <w:rsid w:val="00495685"/>
    <w:rsid w:val="004A1676"/>
    <w:rsid w:val="004A272B"/>
    <w:rsid w:val="004D1D94"/>
    <w:rsid w:val="004F1490"/>
    <w:rsid w:val="004F14E6"/>
    <w:rsid w:val="0050313E"/>
    <w:rsid w:val="00512D4A"/>
    <w:rsid w:val="0053501B"/>
    <w:rsid w:val="005413BA"/>
    <w:rsid w:val="005442AC"/>
    <w:rsid w:val="005478BD"/>
    <w:rsid w:val="0055157A"/>
    <w:rsid w:val="00560F2E"/>
    <w:rsid w:val="00575CAF"/>
    <w:rsid w:val="00581CD3"/>
    <w:rsid w:val="00583214"/>
    <w:rsid w:val="00584488"/>
    <w:rsid w:val="00590D59"/>
    <w:rsid w:val="00597E85"/>
    <w:rsid w:val="005B3039"/>
    <w:rsid w:val="005B43B0"/>
    <w:rsid w:val="005B4471"/>
    <w:rsid w:val="005B5625"/>
    <w:rsid w:val="005B56D6"/>
    <w:rsid w:val="005C274B"/>
    <w:rsid w:val="005C39CF"/>
    <w:rsid w:val="005D2CCA"/>
    <w:rsid w:val="005D5FBF"/>
    <w:rsid w:val="005E2682"/>
    <w:rsid w:val="005E31FB"/>
    <w:rsid w:val="005E35BD"/>
    <w:rsid w:val="006042A8"/>
    <w:rsid w:val="0063782F"/>
    <w:rsid w:val="006400A0"/>
    <w:rsid w:val="00661B69"/>
    <w:rsid w:val="00684A79"/>
    <w:rsid w:val="0068707D"/>
    <w:rsid w:val="00687DD1"/>
    <w:rsid w:val="00692781"/>
    <w:rsid w:val="006A5F32"/>
    <w:rsid w:val="006B26AC"/>
    <w:rsid w:val="006D081E"/>
    <w:rsid w:val="006D1FC5"/>
    <w:rsid w:val="006D3314"/>
    <w:rsid w:val="006E5818"/>
    <w:rsid w:val="006F3EF8"/>
    <w:rsid w:val="00700A0C"/>
    <w:rsid w:val="00701082"/>
    <w:rsid w:val="007044E5"/>
    <w:rsid w:val="0070536F"/>
    <w:rsid w:val="00713E23"/>
    <w:rsid w:val="00715AC3"/>
    <w:rsid w:val="007160B2"/>
    <w:rsid w:val="00723687"/>
    <w:rsid w:val="00723C46"/>
    <w:rsid w:val="00735CC4"/>
    <w:rsid w:val="007411D1"/>
    <w:rsid w:val="00742AFB"/>
    <w:rsid w:val="00742E25"/>
    <w:rsid w:val="00745F80"/>
    <w:rsid w:val="0077167D"/>
    <w:rsid w:val="00772D56"/>
    <w:rsid w:val="00785AE0"/>
    <w:rsid w:val="007A4039"/>
    <w:rsid w:val="007C118D"/>
    <w:rsid w:val="007D658E"/>
    <w:rsid w:val="007E336E"/>
    <w:rsid w:val="00815CAA"/>
    <w:rsid w:val="0082496D"/>
    <w:rsid w:val="00826629"/>
    <w:rsid w:val="0083111F"/>
    <w:rsid w:val="008372A8"/>
    <w:rsid w:val="00843866"/>
    <w:rsid w:val="00847CD9"/>
    <w:rsid w:val="00850906"/>
    <w:rsid w:val="00856EF3"/>
    <w:rsid w:val="00861D8C"/>
    <w:rsid w:val="008623ED"/>
    <w:rsid w:val="00864EAC"/>
    <w:rsid w:val="00870411"/>
    <w:rsid w:val="008B189A"/>
    <w:rsid w:val="008B2B77"/>
    <w:rsid w:val="008B50D6"/>
    <w:rsid w:val="008B5268"/>
    <w:rsid w:val="008C0934"/>
    <w:rsid w:val="008C17F4"/>
    <w:rsid w:val="008C3113"/>
    <w:rsid w:val="008C4E0B"/>
    <w:rsid w:val="008D2EB6"/>
    <w:rsid w:val="008D749B"/>
    <w:rsid w:val="00900B31"/>
    <w:rsid w:val="00901A40"/>
    <w:rsid w:val="00902BFF"/>
    <w:rsid w:val="0090686C"/>
    <w:rsid w:val="0091698A"/>
    <w:rsid w:val="00916B06"/>
    <w:rsid w:val="00920EF4"/>
    <w:rsid w:val="00930577"/>
    <w:rsid w:val="00930DA0"/>
    <w:rsid w:val="009314E6"/>
    <w:rsid w:val="0093419F"/>
    <w:rsid w:val="00945204"/>
    <w:rsid w:val="00946F19"/>
    <w:rsid w:val="00947047"/>
    <w:rsid w:val="009535DA"/>
    <w:rsid w:val="00954530"/>
    <w:rsid w:val="0097295E"/>
    <w:rsid w:val="009860EC"/>
    <w:rsid w:val="00992DA8"/>
    <w:rsid w:val="009965D9"/>
    <w:rsid w:val="009A2480"/>
    <w:rsid w:val="009A5213"/>
    <w:rsid w:val="009A5A07"/>
    <w:rsid w:val="009B46D0"/>
    <w:rsid w:val="009B5B13"/>
    <w:rsid w:val="009D0807"/>
    <w:rsid w:val="009D448D"/>
    <w:rsid w:val="009E6B34"/>
    <w:rsid w:val="009F3E4C"/>
    <w:rsid w:val="00A0267B"/>
    <w:rsid w:val="00A04AA8"/>
    <w:rsid w:val="00A0716F"/>
    <w:rsid w:val="00A120E5"/>
    <w:rsid w:val="00A1664B"/>
    <w:rsid w:val="00A228CA"/>
    <w:rsid w:val="00A36E8D"/>
    <w:rsid w:val="00A53960"/>
    <w:rsid w:val="00A57937"/>
    <w:rsid w:val="00A66072"/>
    <w:rsid w:val="00A67432"/>
    <w:rsid w:val="00A67769"/>
    <w:rsid w:val="00A71A3D"/>
    <w:rsid w:val="00A74FEF"/>
    <w:rsid w:val="00A76161"/>
    <w:rsid w:val="00A851A2"/>
    <w:rsid w:val="00A90E41"/>
    <w:rsid w:val="00A96410"/>
    <w:rsid w:val="00AA729E"/>
    <w:rsid w:val="00AD5F19"/>
    <w:rsid w:val="00AE4A47"/>
    <w:rsid w:val="00AE6FBD"/>
    <w:rsid w:val="00AF35EA"/>
    <w:rsid w:val="00AF4DD3"/>
    <w:rsid w:val="00B01C44"/>
    <w:rsid w:val="00B02994"/>
    <w:rsid w:val="00B04341"/>
    <w:rsid w:val="00B04E82"/>
    <w:rsid w:val="00B05AC8"/>
    <w:rsid w:val="00B16BBC"/>
    <w:rsid w:val="00B21066"/>
    <w:rsid w:val="00B33D2E"/>
    <w:rsid w:val="00B35210"/>
    <w:rsid w:val="00B42973"/>
    <w:rsid w:val="00B42B85"/>
    <w:rsid w:val="00B50DA6"/>
    <w:rsid w:val="00B52913"/>
    <w:rsid w:val="00B56FE5"/>
    <w:rsid w:val="00B61264"/>
    <w:rsid w:val="00B624A3"/>
    <w:rsid w:val="00B662B8"/>
    <w:rsid w:val="00B72103"/>
    <w:rsid w:val="00B93C9D"/>
    <w:rsid w:val="00B93D2A"/>
    <w:rsid w:val="00BA1F47"/>
    <w:rsid w:val="00BA5E80"/>
    <w:rsid w:val="00BA653D"/>
    <w:rsid w:val="00BB3CBD"/>
    <w:rsid w:val="00BB530D"/>
    <w:rsid w:val="00BC421D"/>
    <w:rsid w:val="00BE1EF9"/>
    <w:rsid w:val="00BE20E8"/>
    <w:rsid w:val="00BE45D3"/>
    <w:rsid w:val="00BF6854"/>
    <w:rsid w:val="00C0207A"/>
    <w:rsid w:val="00C034AC"/>
    <w:rsid w:val="00C0537A"/>
    <w:rsid w:val="00C11C33"/>
    <w:rsid w:val="00C14D76"/>
    <w:rsid w:val="00C22FBA"/>
    <w:rsid w:val="00C23460"/>
    <w:rsid w:val="00C30F3E"/>
    <w:rsid w:val="00C35523"/>
    <w:rsid w:val="00C42D19"/>
    <w:rsid w:val="00C464F1"/>
    <w:rsid w:val="00C56DE3"/>
    <w:rsid w:val="00C65A6A"/>
    <w:rsid w:val="00C7707C"/>
    <w:rsid w:val="00C84E1A"/>
    <w:rsid w:val="00C9330A"/>
    <w:rsid w:val="00C934AF"/>
    <w:rsid w:val="00C93FC2"/>
    <w:rsid w:val="00C9626E"/>
    <w:rsid w:val="00CC3B08"/>
    <w:rsid w:val="00CE244E"/>
    <w:rsid w:val="00CE6E14"/>
    <w:rsid w:val="00CE72CC"/>
    <w:rsid w:val="00CF2C6E"/>
    <w:rsid w:val="00D0252B"/>
    <w:rsid w:val="00D13D63"/>
    <w:rsid w:val="00D31011"/>
    <w:rsid w:val="00D322A0"/>
    <w:rsid w:val="00D333DE"/>
    <w:rsid w:val="00D452D5"/>
    <w:rsid w:val="00D613C6"/>
    <w:rsid w:val="00D63741"/>
    <w:rsid w:val="00D70F70"/>
    <w:rsid w:val="00D83990"/>
    <w:rsid w:val="00D94BCC"/>
    <w:rsid w:val="00D97AAB"/>
    <w:rsid w:val="00DA0114"/>
    <w:rsid w:val="00DA20C7"/>
    <w:rsid w:val="00DA61E9"/>
    <w:rsid w:val="00DA7027"/>
    <w:rsid w:val="00DD3649"/>
    <w:rsid w:val="00DE2144"/>
    <w:rsid w:val="00DE5D76"/>
    <w:rsid w:val="00E043E6"/>
    <w:rsid w:val="00E047D7"/>
    <w:rsid w:val="00E05CF0"/>
    <w:rsid w:val="00E347D1"/>
    <w:rsid w:val="00E34ABC"/>
    <w:rsid w:val="00E53153"/>
    <w:rsid w:val="00E545EF"/>
    <w:rsid w:val="00E57BC5"/>
    <w:rsid w:val="00E602AB"/>
    <w:rsid w:val="00E610A6"/>
    <w:rsid w:val="00E65749"/>
    <w:rsid w:val="00E65A4F"/>
    <w:rsid w:val="00E660F9"/>
    <w:rsid w:val="00E66A85"/>
    <w:rsid w:val="00E76316"/>
    <w:rsid w:val="00E8443D"/>
    <w:rsid w:val="00E87D28"/>
    <w:rsid w:val="00E95841"/>
    <w:rsid w:val="00EA3EEB"/>
    <w:rsid w:val="00EB210B"/>
    <w:rsid w:val="00EB464D"/>
    <w:rsid w:val="00ED7ED9"/>
    <w:rsid w:val="00EE0369"/>
    <w:rsid w:val="00EE0F0C"/>
    <w:rsid w:val="00EE2868"/>
    <w:rsid w:val="00EE5F39"/>
    <w:rsid w:val="00F02211"/>
    <w:rsid w:val="00F02A98"/>
    <w:rsid w:val="00F138E0"/>
    <w:rsid w:val="00F20F48"/>
    <w:rsid w:val="00F2258D"/>
    <w:rsid w:val="00F343A5"/>
    <w:rsid w:val="00F35085"/>
    <w:rsid w:val="00F35D84"/>
    <w:rsid w:val="00F422BC"/>
    <w:rsid w:val="00F4353F"/>
    <w:rsid w:val="00F6025B"/>
    <w:rsid w:val="00F63C49"/>
    <w:rsid w:val="00F77349"/>
    <w:rsid w:val="00F8017E"/>
    <w:rsid w:val="00F86CF7"/>
    <w:rsid w:val="00FB2C98"/>
    <w:rsid w:val="00FD650B"/>
    <w:rsid w:val="00FE32A8"/>
    <w:rsid w:val="00FE4EB8"/>
    <w:rsid w:val="00FE724D"/>
    <w:rsid w:val="00FF7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11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11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C11C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02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A9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0F3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5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5F39"/>
  </w:style>
  <w:style w:type="paragraph" w:styleId="a8">
    <w:name w:val="footer"/>
    <w:basedOn w:val="a"/>
    <w:link w:val="a9"/>
    <w:unhideWhenUsed/>
    <w:rsid w:val="00EE5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5F39"/>
  </w:style>
  <w:style w:type="table" w:styleId="aa">
    <w:name w:val="Table Grid"/>
    <w:basedOn w:val="a1"/>
    <w:uiPriority w:val="59"/>
    <w:rsid w:val="00A228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basedOn w:val="a"/>
    <w:link w:val="ac"/>
    <w:uiPriority w:val="1"/>
    <w:qFormat/>
    <w:rsid w:val="00684A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Без интервала Знак"/>
    <w:basedOn w:val="a0"/>
    <w:link w:val="ab"/>
    <w:uiPriority w:val="1"/>
    <w:rsid w:val="00684A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84A79"/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rsid w:val="005B4471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0">
    <w:name w:val="Основной текст 2 Знак"/>
    <w:basedOn w:val="a0"/>
    <w:link w:val="2"/>
    <w:rsid w:val="005B447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styleId="ad">
    <w:name w:val="page number"/>
    <w:basedOn w:val="a0"/>
    <w:rsid w:val="005B4471"/>
  </w:style>
  <w:style w:type="character" w:styleId="ae">
    <w:name w:val="annotation reference"/>
    <w:basedOn w:val="a0"/>
    <w:uiPriority w:val="99"/>
    <w:semiHidden/>
    <w:unhideWhenUsed/>
    <w:rsid w:val="00C0207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07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07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07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07A"/>
    <w:rPr>
      <w:b/>
      <w:bCs/>
      <w:sz w:val="20"/>
      <w:szCs w:val="20"/>
    </w:rPr>
  </w:style>
  <w:style w:type="character" w:styleId="af3">
    <w:name w:val="Hyperlink"/>
    <w:basedOn w:val="a0"/>
    <w:uiPriority w:val="99"/>
    <w:unhideWhenUsed/>
    <w:rsid w:val="00B624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11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11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C11C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02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A9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0F33"/>
    <w:pPr>
      <w:ind w:left="720"/>
      <w:contextualSpacing/>
    </w:pPr>
  </w:style>
  <w:style w:type="paragraph" w:styleId="a6">
    <w:name w:val="header"/>
    <w:basedOn w:val="a"/>
    <w:link w:val="a7"/>
    <w:unhideWhenUsed/>
    <w:rsid w:val="00EE5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5F39"/>
  </w:style>
  <w:style w:type="paragraph" w:styleId="a8">
    <w:name w:val="footer"/>
    <w:basedOn w:val="a"/>
    <w:link w:val="a9"/>
    <w:unhideWhenUsed/>
    <w:rsid w:val="00EE5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5F39"/>
  </w:style>
  <w:style w:type="table" w:styleId="aa">
    <w:name w:val="Table Grid"/>
    <w:basedOn w:val="a1"/>
    <w:uiPriority w:val="59"/>
    <w:rsid w:val="00A228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basedOn w:val="a"/>
    <w:link w:val="ac"/>
    <w:uiPriority w:val="1"/>
    <w:qFormat/>
    <w:rsid w:val="00684A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Без интервала Знак"/>
    <w:basedOn w:val="a0"/>
    <w:link w:val="ab"/>
    <w:uiPriority w:val="1"/>
    <w:rsid w:val="00684A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84A79"/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rsid w:val="005B4471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0">
    <w:name w:val="Основной текст 2 Знак"/>
    <w:basedOn w:val="a0"/>
    <w:link w:val="2"/>
    <w:rsid w:val="005B447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styleId="ad">
    <w:name w:val="page number"/>
    <w:basedOn w:val="a0"/>
    <w:rsid w:val="005B4471"/>
  </w:style>
  <w:style w:type="character" w:styleId="ae">
    <w:name w:val="annotation reference"/>
    <w:basedOn w:val="a0"/>
    <w:uiPriority w:val="99"/>
    <w:semiHidden/>
    <w:unhideWhenUsed/>
    <w:rsid w:val="00C0207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07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07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07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0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hyperlink" Target="http://admpokachi.ru/" TargetMode="Externa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rgbClr val="FFFF00"/>
            </a:solidFill>
            <a:ln w="12707">
              <a:solidFill>
                <a:srgbClr val="000000"/>
              </a:solidFill>
              <a:prstDash val="solid"/>
            </a:ln>
          </c:spPr>
          <c:invertIfNegative val="0"/>
          <c:dLbls>
            <c:txPr>
              <a:bodyPr/>
              <a:lstStyle/>
              <a:p>
                <a:pPr>
                  <a:defRPr sz="10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Sheet1!$C$1:$D$1</c:f>
              <c:strCache>
                <c:ptCount val="2"/>
                <c:pt idx="0">
                  <c:v>2018 год</c:v>
                </c:pt>
                <c:pt idx="1">
                  <c:v>2019 год</c:v>
                </c:pt>
              </c:strCache>
            </c:strRef>
          </c:cat>
          <c:val>
            <c:numRef>
              <c:f>Sheet1!$C$2:$D$2</c:f>
              <c:numCache>
                <c:formatCode>General</c:formatCode>
                <c:ptCount val="2"/>
                <c:pt idx="0">
                  <c:v>234</c:v>
                </c:pt>
                <c:pt idx="1">
                  <c:v>235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Число умерших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Sheet1!$C$1:$D$1</c:f>
              <c:strCache>
                <c:ptCount val="2"/>
                <c:pt idx="0">
                  <c:v>2018 год</c:v>
                </c:pt>
                <c:pt idx="1">
                  <c:v>2019 год</c:v>
                </c:pt>
              </c:strCache>
            </c:strRef>
          </c:cat>
          <c:val>
            <c:numRef>
              <c:f>Sheet1!$C$3:$D$3</c:f>
              <c:numCache>
                <c:formatCode>General</c:formatCode>
                <c:ptCount val="2"/>
                <c:pt idx="0">
                  <c:v>57</c:v>
                </c:pt>
                <c:pt idx="1">
                  <c:v>62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Естественный прирост населения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Sheet1!$C$1:$D$1</c:f>
              <c:strCache>
                <c:ptCount val="2"/>
                <c:pt idx="0">
                  <c:v>2018 год</c:v>
                </c:pt>
                <c:pt idx="1">
                  <c:v>2019 год</c:v>
                </c:pt>
              </c:strCache>
            </c:strRef>
          </c:cat>
          <c:val>
            <c:numRef>
              <c:f>Sheet1!$C$4:$D$4</c:f>
              <c:numCache>
                <c:formatCode>General</c:formatCode>
                <c:ptCount val="2"/>
                <c:pt idx="0">
                  <c:v>177</c:v>
                </c:pt>
                <c:pt idx="1">
                  <c:v>173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Количество прибывших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Sheet1!$C$1:$D$1</c:f>
              <c:strCache>
                <c:ptCount val="2"/>
                <c:pt idx="0">
                  <c:v>2018 год</c:v>
                </c:pt>
                <c:pt idx="1">
                  <c:v>2019 год</c:v>
                </c:pt>
              </c:strCache>
            </c:strRef>
          </c:cat>
          <c:val>
            <c:numRef>
              <c:f>Sheet1!$C$5:$D$5</c:f>
              <c:numCache>
                <c:formatCode>General</c:formatCode>
                <c:ptCount val="2"/>
                <c:pt idx="0">
                  <c:v>1087</c:v>
                </c:pt>
                <c:pt idx="1">
                  <c:v>954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Количество выбывших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Sheet1!$C$1:$D$1</c:f>
              <c:strCache>
                <c:ptCount val="2"/>
                <c:pt idx="0">
                  <c:v>2018 год</c:v>
                </c:pt>
                <c:pt idx="1">
                  <c:v>2019 год</c:v>
                </c:pt>
              </c:strCache>
            </c:strRef>
          </c:cat>
          <c:val>
            <c:numRef>
              <c:f>Sheet1!$C$6:$D$6</c:f>
              <c:numCache>
                <c:formatCode>General</c:formatCode>
                <c:ptCount val="2"/>
                <c:pt idx="0">
                  <c:v>1151</c:v>
                </c:pt>
                <c:pt idx="1">
                  <c:v>1040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Миграционный прирост (убыль) населения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Sheet1!$C$1:$D$1</c:f>
              <c:strCache>
                <c:ptCount val="2"/>
                <c:pt idx="0">
                  <c:v>2018 год</c:v>
                </c:pt>
                <c:pt idx="1">
                  <c:v>2019 год</c:v>
                </c:pt>
              </c:strCache>
            </c:strRef>
          </c:cat>
          <c:val>
            <c:numRef>
              <c:f>Sheet1!$C$7:$D$7</c:f>
              <c:numCache>
                <c:formatCode>General</c:formatCode>
                <c:ptCount val="2"/>
                <c:pt idx="0">
                  <c:v>-64</c:v>
                </c:pt>
                <c:pt idx="1">
                  <c:v>-86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33142784"/>
        <c:axId val="129527808"/>
      </c:barChart>
      <c:catAx>
        <c:axId val="1331427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95278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9527808"/>
        <c:scaling>
          <c:orientation val="minMax"/>
          <c:max val="1600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3142784"/>
        <c:crosses val="autoZero"/>
        <c:crossBetween val="between"/>
      </c:valAx>
      <c:spPr>
        <a:gradFill rotWithShape="0">
          <a:gsLst>
            <a:gs pos="0">
              <a:srgbClr val="CCCCFF"/>
            </a:gs>
            <a:gs pos="100000">
              <a:srgbClr val="FFFFFF">
                <a:gamma/>
                <a:tint val="0"/>
                <a:invGamma/>
              </a:srgbClr>
            </a:gs>
          </a:gsLst>
          <a:lin ang="5400000" scaled="1"/>
        </a:gradFill>
        <a:ln w="12707">
          <a:solidFill>
            <a:srgbClr val="CCFFFF"/>
          </a:solidFill>
          <a:prstDash val="solid"/>
        </a:ln>
      </c:spPr>
    </c:plotArea>
    <c:legend>
      <c:legendPos val="b"/>
      <c:overlay val="0"/>
      <c:spPr>
        <a:noFill/>
        <a:ln w="3177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0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DF5A7-EA6E-4DBA-937B-F030CC633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16</Pages>
  <Words>5581</Words>
  <Characters>31816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Медведева Людмила Алексеевна</dc:creator>
  <cp:lastModifiedBy>Амерханова Бэла Рамзановна</cp:lastModifiedBy>
  <cp:revision>24</cp:revision>
  <cp:lastPrinted>2020-11-02T10:48:00Z</cp:lastPrinted>
  <dcterms:created xsi:type="dcterms:W3CDTF">2020-10-23T09:52:00Z</dcterms:created>
  <dcterms:modified xsi:type="dcterms:W3CDTF">2020-11-03T06:16:00Z</dcterms:modified>
</cp:coreProperties>
</file>