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71E" w:rsidRPr="0000471E" w:rsidRDefault="0000471E" w:rsidP="0000471E">
      <w:pPr>
        <w:pStyle w:val="ConsPlusNormal0"/>
        <w:widowControl/>
        <w:ind w:firstLine="708"/>
        <w:jc w:val="center"/>
        <w:rPr>
          <w:rFonts w:ascii="Times New Roman" w:hAnsi="Times New Roman" w:cs="Times New Roman"/>
          <w:sz w:val="24"/>
          <w:szCs w:val="24"/>
        </w:rPr>
      </w:pPr>
      <w:r w:rsidRPr="0000471E">
        <w:rPr>
          <w:rFonts w:ascii="Times New Roman" w:hAnsi="Times New Roman" w:cs="Times New Roman"/>
          <w:sz w:val="24"/>
          <w:szCs w:val="24"/>
        </w:rPr>
        <w:t>Паспорт муниципальной программы</w:t>
      </w:r>
    </w:p>
    <w:p w:rsidR="0000471E" w:rsidRPr="0000471E" w:rsidRDefault="0000471E" w:rsidP="0000471E">
      <w:pPr>
        <w:pStyle w:val="ConsPlusNormal0"/>
        <w:widowControl/>
        <w:ind w:firstLine="708"/>
        <w:jc w:val="center"/>
        <w:rPr>
          <w:rFonts w:ascii="Times New Roman" w:hAnsi="Times New Roman" w:cs="Times New Roman"/>
          <w:sz w:val="24"/>
          <w:szCs w:val="24"/>
        </w:rPr>
      </w:pPr>
      <w:r w:rsidRPr="0000471E">
        <w:rPr>
          <w:rFonts w:ascii="Times New Roman" w:hAnsi="Times New Roman" w:cs="Times New Roman"/>
          <w:sz w:val="24"/>
          <w:szCs w:val="24"/>
        </w:rPr>
        <w:t>«Осуществление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p w:rsidR="0000471E" w:rsidRPr="0000471E" w:rsidRDefault="0000471E" w:rsidP="0000471E">
      <w:pPr>
        <w:pStyle w:val="ConsPlusNormal0"/>
        <w:widowControl/>
        <w:ind w:firstLine="708"/>
        <w:jc w:val="center"/>
        <w:rPr>
          <w:rFonts w:ascii="Times New Roman" w:hAnsi="Times New Roman" w:cs="Times New Roman"/>
          <w:b/>
          <w:sz w:val="24"/>
          <w:szCs w:val="24"/>
        </w:rPr>
      </w:pPr>
    </w:p>
    <w:tbl>
      <w:tblPr>
        <w:tblW w:w="9464" w:type="dxa"/>
        <w:tblLayout w:type="fixed"/>
        <w:tblLook w:val="04A0"/>
      </w:tblPr>
      <w:tblGrid>
        <w:gridCol w:w="567"/>
        <w:gridCol w:w="3118"/>
        <w:gridCol w:w="5779"/>
      </w:tblGrid>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1</w:t>
            </w:r>
          </w:p>
        </w:tc>
        <w:tc>
          <w:tcPr>
            <w:tcW w:w="3118" w:type="dxa"/>
            <w:tcBorders>
              <w:top w:val="single" w:sz="4" w:space="0" w:color="000000"/>
              <w:left w:val="single" w:sz="4" w:space="0" w:color="000000"/>
              <w:bottom w:val="single" w:sz="4" w:space="0" w:color="000000"/>
              <w:right w:val="nil"/>
            </w:tcBorders>
            <w:hideMark/>
          </w:tcPr>
          <w:p w:rsidR="0000471E" w:rsidRPr="0000471E" w:rsidRDefault="00EB0971" w:rsidP="00EB0971">
            <w:pPr>
              <w:pStyle w:val="ConsPlusNormal0"/>
              <w:widowControl/>
              <w:snapToGrid w:val="0"/>
              <w:ind w:firstLine="0"/>
              <w:jc w:val="both"/>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00471E" w:rsidRPr="0000471E">
              <w:rPr>
                <w:rFonts w:ascii="Times New Roman" w:hAnsi="Times New Roman" w:cs="Times New Roman"/>
                <w:sz w:val="24"/>
                <w:szCs w:val="24"/>
              </w:rPr>
              <w:t>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w:t>
            </w:r>
            <w:r w:rsidR="003929AA">
              <w:rPr>
                <w:rFonts w:ascii="Times New Roman" w:hAnsi="Times New Roman" w:cs="Times New Roman"/>
                <w:sz w:val="24"/>
                <w:szCs w:val="24"/>
              </w:rPr>
              <w:t>чи на основании бюджетной сметы</w:t>
            </w:r>
            <w:bookmarkStart w:id="0" w:name="_GoBack"/>
            <w:bookmarkEnd w:id="0"/>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2</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Дата утверждения муниципальной 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jc w:val="both"/>
              <w:rPr>
                <w:sz w:val="24"/>
                <w:szCs w:val="24"/>
              </w:rPr>
            </w:pPr>
            <w:r w:rsidRPr="0000471E">
              <w:rPr>
                <w:sz w:val="24"/>
                <w:szCs w:val="24"/>
              </w:rPr>
              <w:t>Постановление администрации города Покачи                       от 12.10.2018 №996 «Об утверждении муниципальной  программы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3</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Ответственный исполнитель муниципальной 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eastAsia="Times New Roman" w:hAnsi="Times New Roman" w:cs="Times New Roman"/>
                <w:sz w:val="24"/>
                <w:szCs w:val="24"/>
              </w:rPr>
              <w:t>Управление по кадрам и делопроизводству администрации, МКУ «УМТО»</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4</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Соисполнители муниципальной 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отсутствуют</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5</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Цели муниципальной  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suppressAutoHyphens w:val="0"/>
              <w:autoSpaceDE w:val="0"/>
              <w:autoSpaceDN w:val="0"/>
              <w:adjustRightInd w:val="0"/>
              <w:jc w:val="both"/>
              <w:rPr>
                <w:sz w:val="24"/>
                <w:szCs w:val="24"/>
              </w:rPr>
            </w:pPr>
            <w:r w:rsidRPr="0000471E">
              <w:rPr>
                <w:sz w:val="24"/>
                <w:szCs w:val="24"/>
              </w:rPr>
              <w:t>Создание условий бесперебойного функционирования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6</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Задачи муниципальной  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jc w:val="both"/>
              <w:rPr>
                <w:sz w:val="24"/>
                <w:szCs w:val="24"/>
                <w:highlight w:val="yellow"/>
              </w:rPr>
            </w:pPr>
            <w:r w:rsidRPr="0000471E">
              <w:rPr>
                <w:sz w:val="24"/>
                <w:szCs w:val="24"/>
              </w:rPr>
              <w:t>Материально-техническое обеспечение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autoSpaceDE w:val="0"/>
              <w:autoSpaceDN w:val="0"/>
              <w:adjustRightInd w:val="0"/>
              <w:jc w:val="both"/>
              <w:rPr>
                <w:sz w:val="24"/>
                <w:szCs w:val="24"/>
              </w:rPr>
            </w:pPr>
            <w:r w:rsidRPr="0000471E">
              <w:rPr>
                <w:sz w:val="24"/>
                <w:szCs w:val="24"/>
              </w:rPr>
              <w:t>7</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Подпрограммы или основные мероприятия муниципальной 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jc w:val="both"/>
              <w:rPr>
                <w:sz w:val="24"/>
                <w:szCs w:val="24"/>
              </w:rPr>
            </w:pPr>
            <w:r w:rsidRPr="0000471E">
              <w:rPr>
                <w:sz w:val="24"/>
                <w:szCs w:val="24"/>
              </w:rPr>
              <w:t>Основные мероприятия:</w:t>
            </w:r>
          </w:p>
          <w:p w:rsidR="0000471E" w:rsidRPr="0000471E" w:rsidRDefault="0000471E" w:rsidP="00EB0971">
            <w:pPr>
              <w:jc w:val="both"/>
              <w:rPr>
                <w:sz w:val="24"/>
                <w:szCs w:val="24"/>
              </w:rPr>
            </w:pPr>
            <w:r w:rsidRPr="0000471E">
              <w:rPr>
                <w:sz w:val="24"/>
                <w:szCs w:val="24"/>
              </w:rPr>
              <w:t>1. Сохранение и развитие кадрового потенциала МКУ «УМТО».</w:t>
            </w:r>
          </w:p>
          <w:p w:rsidR="0000471E" w:rsidRPr="0000471E" w:rsidRDefault="0000471E" w:rsidP="00EB0971">
            <w:pPr>
              <w:jc w:val="both"/>
              <w:rPr>
                <w:sz w:val="24"/>
                <w:szCs w:val="24"/>
              </w:rPr>
            </w:pPr>
            <w:r w:rsidRPr="0000471E">
              <w:rPr>
                <w:sz w:val="24"/>
                <w:szCs w:val="24"/>
              </w:rPr>
              <w:t>2. Обеспечение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 коммунальными услугами, транспортными услугами, услугами связи, услугами по содержанию имущества, прочими услугами.</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autoSpaceDE w:val="0"/>
              <w:autoSpaceDN w:val="0"/>
              <w:adjustRightInd w:val="0"/>
              <w:jc w:val="both"/>
              <w:rPr>
                <w:sz w:val="24"/>
                <w:szCs w:val="24"/>
              </w:rPr>
            </w:pPr>
            <w:r w:rsidRPr="0000471E">
              <w:rPr>
                <w:sz w:val="24"/>
                <w:szCs w:val="24"/>
              </w:rPr>
              <w:t>8</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suppressAutoHyphens w:val="0"/>
              <w:autoSpaceDE w:val="0"/>
              <w:autoSpaceDN w:val="0"/>
              <w:adjustRightInd w:val="0"/>
              <w:jc w:val="both"/>
              <w:rPr>
                <w:sz w:val="24"/>
                <w:szCs w:val="24"/>
              </w:rPr>
            </w:pPr>
            <w:r w:rsidRPr="0000471E">
              <w:rPr>
                <w:sz w:val="24"/>
                <w:szCs w:val="24"/>
              </w:rPr>
              <w:t xml:space="preserve">Портфели проектов, проекты автономного округа, реализуемые через муниципальную программу, в том числе </w:t>
            </w:r>
            <w:r w:rsidRPr="0000471E">
              <w:rPr>
                <w:sz w:val="24"/>
                <w:szCs w:val="24"/>
              </w:rPr>
              <w:lastRenderedPageBreak/>
              <w:t xml:space="preserve">направленные на реализацию национальных проектов (программ) Российской Федерации, параметры их финансового обеспечения  </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jc w:val="both"/>
              <w:rPr>
                <w:sz w:val="24"/>
                <w:szCs w:val="24"/>
              </w:rPr>
            </w:pPr>
            <w:r w:rsidRPr="0000471E">
              <w:rPr>
                <w:sz w:val="24"/>
                <w:szCs w:val="24"/>
              </w:rPr>
              <w:lastRenderedPageBreak/>
              <w:t>Отсутствуют</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lastRenderedPageBreak/>
              <w:t>9</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suppressAutoHyphens w:val="0"/>
              <w:autoSpaceDE w:val="0"/>
              <w:autoSpaceDN w:val="0"/>
              <w:adjustRightInd w:val="0"/>
              <w:jc w:val="both"/>
              <w:rPr>
                <w:sz w:val="24"/>
                <w:szCs w:val="24"/>
              </w:rPr>
            </w:pPr>
            <w:r w:rsidRPr="0000471E">
              <w:rPr>
                <w:sz w:val="24"/>
                <w:szCs w:val="24"/>
              </w:rPr>
              <w:t>Целевые показатели муниципальной 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jc w:val="both"/>
              <w:rPr>
                <w:sz w:val="24"/>
                <w:szCs w:val="24"/>
              </w:rPr>
            </w:pPr>
            <w:r w:rsidRPr="0000471E">
              <w:rPr>
                <w:sz w:val="24"/>
                <w:szCs w:val="24"/>
              </w:rPr>
              <w:t>1. Сохранение объемов обслуживания  зданий, помещений, прилегающей территории до 7 037,90 м2.</w:t>
            </w:r>
          </w:p>
          <w:p w:rsidR="0000471E" w:rsidRPr="0000471E" w:rsidRDefault="0000471E" w:rsidP="00EB0971">
            <w:pPr>
              <w:jc w:val="both"/>
              <w:rPr>
                <w:sz w:val="24"/>
                <w:szCs w:val="24"/>
              </w:rPr>
            </w:pPr>
            <w:r w:rsidRPr="0000471E">
              <w:rPr>
                <w:sz w:val="24"/>
                <w:szCs w:val="24"/>
              </w:rPr>
              <w:t>2. Увеличение количества транспортных единиц с 9 до 11 единиц техники.</w:t>
            </w:r>
          </w:p>
          <w:p w:rsidR="0000471E" w:rsidRPr="0000471E" w:rsidRDefault="0000471E" w:rsidP="00EB0971">
            <w:pPr>
              <w:jc w:val="both"/>
              <w:rPr>
                <w:sz w:val="24"/>
                <w:szCs w:val="24"/>
              </w:rPr>
            </w:pPr>
            <w:r w:rsidRPr="0000471E">
              <w:rPr>
                <w:sz w:val="24"/>
                <w:szCs w:val="24"/>
              </w:rPr>
              <w:t>3. Сохранение объемов обеспечения канцелярскими товарами работников администрации города Покачи до 124 человек.</w:t>
            </w:r>
          </w:p>
          <w:p w:rsidR="0000471E" w:rsidRPr="0000471E" w:rsidRDefault="0000471E" w:rsidP="00EB0971">
            <w:pPr>
              <w:jc w:val="both"/>
              <w:rPr>
                <w:sz w:val="24"/>
                <w:szCs w:val="24"/>
              </w:rPr>
            </w:pPr>
            <w:r w:rsidRPr="0000471E">
              <w:rPr>
                <w:sz w:val="24"/>
                <w:szCs w:val="24"/>
              </w:rPr>
              <w:t>4. Сохранение количества заключенных договоров, муниципальных контрактов на уровне 48 штук.</w:t>
            </w:r>
          </w:p>
          <w:p w:rsidR="0000471E" w:rsidRPr="0000471E" w:rsidRDefault="0000471E" w:rsidP="00EB0971">
            <w:pPr>
              <w:jc w:val="both"/>
              <w:rPr>
                <w:sz w:val="24"/>
                <w:szCs w:val="24"/>
              </w:rPr>
            </w:pPr>
            <w:r w:rsidRPr="0000471E">
              <w:rPr>
                <w:sz w:val="24"/>
                <w:szCs w:val="24"/>
              </w:rPr>
              <w:t>5. Сохранение количества выполненных заявок на предоставление транспортных услуг до 245 заявок.</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autoSpaceDE w:val="0"/>
              <w:autoSpaceDN w:val="0"/>
              <w:adjustRightInd w:val="0"/>
              <w:jc w:val="both"/>
              <w:rPr>
                <w:rFonts w:eastAsia="Arial"/>
                <w:sz w:val="24"/>
                <w:szCs w:val="24"/>
              </w:rPr>
            </w:pPr>
            <w:r w:rsidRPr="0000471E">
              <w:rPr>
                <w:rFonts w:eastAsia="Arial"/>
                <w:sz w:val="24"/>
                <w:szCs w:val="24"/>
              </w:rPr>
              <w:t>10</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Сроки реализации  муниципальной 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pStyle w:val="ConsPlusNormal0"/>
              <w:widowControl/>
              <w:snapToGrid w:val="0"/>
              <w:ind w:firstLine="0"/>
              <w:jc w:val="both"/>
              <w:rPr>
                <w:rFonts w:ascii="Times New Roman" w:hAnsi="Times New Roman" w:cs="Times New Roman"/>
                <w:sz w:val="24"/>
                <w:szCs w:val="24"/>
              </w:rPr>
            </w:pPr>
            <w:r w:rsidRPr="0000471E">
              <w:rPr>
                <w:rFonts w:ascii="Times New Roman" w:hAnsi="Times New Roman" w:cs="Times New Roman"/>
                <w:sz w:val="24"/>
                <w:szCs w:val="24"/>
              </w:rPr>
              <w:t>2019-2025 годы и на период до 2030 года</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autoSpaceDE w:val="0"/>
              <w:autoSpaceDN w:val="0"/>
              <w:adjustRightInd w:val="0"/>
              <w:jc w:val="both"/>
              <w:rPr>
                <w:rFonts w:eastAsia="Arial"/>
                <w:sz w:val="24"/>
                <w:szCs w:val="24"/>
              </w:rPr>
            </w:pPr>
            <w:r w:rsidRPr="0000471E">
              <w:rPr>
                <w:rFonts w:eastAsia="Arial"/>
                <w:sz w:val="24"/>
                <w:szCs w:val="24"/>
              </w:rPr>
              <w:t>11</w:t>
            </w:r>
          </w:p>
        </w:tc>
        <w:tc>
          <w:tcPr>
            <w:tcW w:w="3118" w:type="dxa"/>
            <w:tcBorders>
              <w:top w:val="single" w:sz="4" w:space="0" w:color="000000"/>
              <w:left w:val="single" w:sz="4" w:space="0" w:color="000000"/>
              <w:bottom w:val="single" w:sz="4" w:space="0" w:color="000000"/>
              <w:right w:val="nil"/>
            </w:tcBorders>
            <w:hideMark/>
          </w:tcPr>
          <w:p w:rsidR="0000471E" w:rsidRPr="0000471E" w:rsidRDefault="0000471E" w:rsidP="00EB0971">
            <w:pPr>
              <w:suppressAutoHyphens w:val="0"/>
              <w:autoSpaceDE w:val="0"/>
              <w:autoSpaceDN w:val="0"/>
              <w:adjustRightInd w:val="0"/>
              <w:jc w:val="both"/>
              <w:rPr>
                <w:rFonts w:eastAsia="Arial"/>
                <w:sz w:val="24"/>
                <w:szCs w:val="24"/>
              </w:rPr>
            </w:pPr>
            <w:r w:rsidRPr="0000471E">
              <w:rPr>
                <w:rFonts w:eastAsia="Arial"/>
                <w:sz w:val="24"/>
                <w:szCs w:val="24"/>
              </w:rPr>
              <w:t>Параметры финансового обеспечения муниципальной программы</w:t>
            </w: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jc w:val="both"/>
              <w:rPr>
                <w:sz w:val="24"/>
                <w:szCs w:val="24"/>
              </w:rPr>
            </w:pPr>
            <w:r w:rsidRPr="0000471E">
              <w:rPr>
                <w:sz w:val="24"/>
                <w:szCs w:val="24"/>
              </w:rPr>
              <w:t>Общий  объем  финансирования  678 912 222,50 рублей, в том числе по годам:</w:t>
            </w:r>
          </w:p>
          <w:p w:rsidR="0000471E" w:rsidRPr="0000471E" w:rsidRDefault="0000471E" w:rsidP="00EB0971">
            <w:pPr>
              <w:jc w:val="both"/>
              <w:rPr>
                <w:sz w:val="24"/>
                <w:szCs w:val="24"/>
              </w:rPr>
            </w:pPr>
            <w:r w:rsidRPr="0000471E">
              <w:rPr>
                <w:sz w:val="24"/>
                <w:szCs w:val="24"/>
              </w:rPr>
              <w:t>2019 год – 79 154 650,42 рублей;</w:t>
            </w:r>
          </w:p>
          <w:p w:rsidR="0000471E" w:rsidRPr="0000471E" w:rsidRDefault="0000471E" w:rsidP="00EB0971">
            <w:pPr>
              <w:jc w:val="both"/>
              <w:rPr>
                <w:sz w:val="24"/>
                <w:szCs w:val="24"/>
              </w:rPr>
            </w:pPr>
            <w:r w:rsidRPr="0000471E">
              <w:rPr>
                <w:sz w:val="24"/>
                <w:szCs w:val="24"/>
              </w:rPr>
              <w:t>2020 год – 74 418 872,08 рублей;</w:t>
            </w:r>
          </w:p>
          <w:p w:rsidR="0000471E" w:rsidRPr="0000471E" w:rsidRDefault="0000471E" w:rsidP="00EB0971">
            <w:pPr>
              <w:jc w:val="both"/>
              <w:rPr>
                <w:sz w:val="24"/>
                <w:szCs w:val="24"/>
              </w:rPr>
            </w:pPr>
            <w:r w:rsidRPr="0000471E">
              <w:rPr>
                <w:sz w:val="24"/>
                <w:szCs w:val="24"/>
              </w:rPr>
              <w:t>2021 год – 59 816 100,00 рублей;</w:t>
            </w:r>
          </w:p>
          <w:p w:rsidR="0000471E" w:rsidRPr="0000471E" w:rsidRDefault="0000471E" w:rsidP="00EB0971">
            <w:pPr>
              <w:jc w:val="both"/>
              <w:rPr>
                <w:sz w:val="24"/>
                <w:szCs w:val="24"/>
              </w:rPr>
            </w:pPr>
            <w:r w:rsidRPr="0000471E">
              <w:rPr>
                <w:sz w:val="24"/>
                <w:szCs w:val="24"/>
              </w:rPr>
              <w:t>2022 год – 60 398 600,00 рублей;</w:t>
            </w:r>
          </w:p>
          <w:p w:rsidR="0000471E" w:rsidRPr="0000471E" w:rsidRDefault="0000471E" w:rsidP="00EB0971">
            <w:pPr>
              <w:jc w:val="both"/>
              <w:rPr>
                <w:sz w:val="24"/>
                <w:szCs w:val="24"/>
              </w:rPr>
            </w:pPr>
            <w:r w:rsidRPr="0000471E">
              <w:rPr>
                <w:sz w:val="24"/>
                <w:szCs w:val="24"/>
              </w:rPr>
              <w:t>2023 год – 32 829 000,00 рублей;</w:t>
            </w:r>
          </w:p>
          <w:p w:rsidR="0000471E" w:rsidRPr="0000471E" w:rsidRDefault="0000471E" w:rsidP="00EB0971">
            <w:pPr>
              <w:jc w:val="both"/>
              <w:rPr>
                <w:sz w:val="24"/>
                <w:szCs w:val="24"/>
              </w:rPr>
            </w:pPr>
            <w:r w:rsidRPr="0000471E">
              <w:rPr>
                <w:sz w:val="24"/>
                <w:szCs w:val="24"/>
              </w:rPr>
              <w:t>2024 год – 53 185 000,00 рублей;</w:t>
            </w:r>
          </w:p>
          <w:p w:rsidR="0000471E" w:rsidRPr="0000471E" w:rsidRDefault="0000471E" w:rsidP="00EB0971">
            <w:pPr>
              <w:jc w:val="both"/>
              <w:rPr>
                <w:sz w:val="24"/>
                <w:szCs w:val="24"/>
              </w:rPr>
            </w:pPr>
            <w:r w:rsidRPr="0000471E">
              <w:rPr>
                <w:sz w:val="24"/>
                <w:szCs w:val="24"/>
              </w:rPr>
              <w:t>2025 год – 53 185 000,00 рублей;</w:t>
            </w:r>
          </w:p>
          <w:p w:rsidR="0000471E" w:rsidRPr="0000471E" w:rsidRDefault="0000471E" w:rsidP="00EB0971">
            <w:pPr>
              <w:jc w:val="both"/>
              <w:rPr>
                <w:sz w:val="24"/>
                <w:szCs w:val="24"/>
              </w:rPr>
            </w:pPr>
            <w:r w:rsidRPr="0000471E">
              <w:rPr>
                <w:sz w:val="24"/>
                <w:szCs w:val="24"/>
              </w:rPr>
              <w:t>2026 год – 53 185 000,00 рублей;</w:t>
            </w:r>
          </w:p>
          <w:p w:rsidR="0000471E" w:rsidRPr="0000471E" w:rsidRDefault="0000471E" w:rsidP="00EB0971">
            <w:pPr>
              <w:jc w:val="both"/>
              <w:rPr>
                <w:sz w:val="24"/>
                <w:szCs w:val="24"/>
              </w:rPr>
            </w:pPr>
            <w:r w:rsidRPr="0000471E">
              <w:rPr>
                <w:sz w:val="24"/>
                <w:szCs w:val="24"/>
              </w:rPr>
              <w:t>2027 год – 53 185 000,00 рублей;</w:t>
            </w:r>
          </w:p>
          <w:p w:rsidR="0000471E" w:rsidRPr="0000471E" w:rsidRDefault="0000471E" w:rsidP="00EB0971">
            <w:pPr>
              <w:jc w:val="both"/>
              <w:rPr>
                <w:sz w:val="24"/>
                <w:szCs w:val="24"/>
              </w:rPr>
            </w:pPr>
            <w:r w:rsidRPr="0000471E">
              <w:rPr>
                <w:sz w:val="24"/>
                <w:szCs w:val="24"/>
              </w:rPr>
              <w:t>2028 год – 53 185 000,00 рублей;</w:t>
            </w:r>
          </w:p>
          <w:p w:rsidR="0000471E" w:rsidRPr="0000471E" w:rsidRDefault="0000471E" w:rsidP="00EB0971">
            <w:pPr>
              <w:jc w:val="both"/>
              <w:rPr>
                <w:sz w:val="24"/>
                <w:szCs w:val="24"/>
              </w:rPr>
            </w:pPr>
            <w:r w:rsidRPr="0000471E">
              <w:rPr>
                <w:sz w:val="24"/>
                <w:szCs w:val="24"/>
              </w:rPr>
              <w:t>2029 год – 53 185 000,00 рублей;</w:t>
            </w:r>
          </w:p>
          <w:p w:rsidR="0000471E" w:rsidRPr="0000471E" w:rsidRDefault="0000471E" w:rsidP="00EB0971">
            <w:pPr>
              <w:jc w:val="both"/>
              <w:rPr>
                <w:sz w:val="24"/>
                <w:szCs w:val="24"/>
              </w:rPr>
            </w:pPr>
            <w:r w:rsidRPr="0000471E">
              <w:rPr>
                <w:sz w:val="24"/>
                <w:szCs w:val="24"/>
              </w:rPr>
              <w:t>2030 год – 53 185 000,00 рублей.</w:t>
            </w:r>
          </w:p>
        </w:tc>
      </w:tr>
      <w:tr w:rsidR="0000471E" w:rsidRPr="0000471E" w:rsidTr="00EB0971">
        <w:trPr>
          <w:trHeight w:val="333"/>
        </w:trPr>
        <w:tc>
          <w:tcPr>
            <w:tcW w:w="567" w:type="dxa"/>
            <w:tcBorders>
              <w:top w:val="single" w:sz="4" w:space="0" w:color="000000"/>
              <w:left w:val="single" w:sz="4" w:space="0" w:color="000000"/>
              <w:bottom w:val="single" w:sz="4" w:space="0" w:color="000000"/>
              <w:right w:val="nil"/>
            </w:tcBorders>
            <w:hideMark/>
          </w:tcPr>
          <w:p w:rsidR="0000471E" w:rsidRPr="0000471E" w:rsidRDefault="0000471E" w:rsidP="00EB0971">
            <w:pPr>
              <w:autoSpaceDE w:val="0"/>
              <w:autoSpaceDN w:val="0"/>
              <w:adjustRightInd w:val="0"/>
              <w:jc w:val="both"/>
              <w:rPr>
                <w:rFonts w:eastAsia="Arial"/>
                <w:sz w:val="24"/>
                <w:szCs w:val="24"/>
              </w:rPr>
            </w:pPr>
            <w:r w:rsidRPr="0000471E">
              <w:rPr>
                <w:rFonts w:eastAsia="Arial"/>
                <w:sz w:val="24"/>
                <w:szCs w:val="24"/>
              </w:rPr>
              <w:t>12</w:t>
            </w:r>
          </w:p>
        </w:tc>
        <w:tc>
          <w:tcPr>
            <w:tcW w:w="3118" w:type="dxa"/>
            <w:tcBorders>
              <w:top w:val="single" w:sz="4" w:space="0" w:color="000000"/>
              <w:left w:val="single" w:sz="4" w:space="0" w:color="000000"/>
              <w:bottom w:val="single" w:sz="4" w:space="0" w:color="000000"/>
              <w:right w:val="nil"/>
            </w:tcBorders>
          </w:tcPr>
          <w:p w:rsidR="0000471E" w:rsidRPr="0000471E" w:rsidRDefault="0000471E" w:rsidP="00EB0971">
            <w:pPr>
              <w:suppressAutoHyphens w:val="0"/>
              <w:autoSpaceDE w:val="0"/>
              <w:autoSpaceDN w:val="0"/>
              <w:adjustRightInd w:val="0"/>
              <w:jc w:val="both"/>
              <w:rPr>
                <w:sz w:val="24"/>
                <w:szCs w:val="24"/>
                <w:lang w:eastAsia="ru-RU"/>
              </w:rPr>
            </w:pPr>
            <w:r w:rsidRPr="0000471E">
              <w:rPr>
                <w:sz w:val="24"/>
                <w:szCs w:val="24"/>
                <w:lang w:eastAsia="ru-RU"/>
              </w:rPr>
              <w:t>Направление Стратегии социально-экономического развития города Покачи до 2030 года</w:t>
            </w:r>
          </w:p>
          <w:p w:rsidR="0000471E" w:rsidRPr="0000471E" w:rsidRDefault="0000471E" w:rsidP="00EB0971">
            <w:pPr>
              <w:suppressAutoHyphens w:val="0"/>
              <w:autoSpaceDE w:val="0"/>
              <w:autoSpaceDN w:val="0"/>
              <w:adjustRightInd w:val="0"/>
              <w:jc w:val="both"/>
              <w:rPr>
                <w:rFonts w:eastAsia="Arial"/>
                <w:sz w:val="24"/>
                <w:szCs w:val="24"/>
              </w:rPr>
            </w:pPr>
          </w:p>
        </w:tc>
        <w:tc>
          <w:tcPr>
            <w:tcW w:w="5779" w:type="dxa"/>
            <w:tcBorders>
              <w:top w:val="single" w:sz="4" w:space="0" w:color="000000"/>
              <w:left w:val="single" w:sz="4" w:space="0" w:color="000000"/>
              <w:bottom w:val="single" w:sz="4" w:space="0" w:color="000000"/>
              <w:right w:val="single" w:sz="4" w:space="0" w:color="000000"/>
            </w:tcBorders>
            <w:hideMark/>
          </w:tcPr>
          <w:p w:rsidR="0000471E" w:rsidRPr="0000471E" w:rsidRDefault="0000471E" w:rsidP="00EB0971">
            <w:pPr>
              <w:pStyle w:val="a3"/>
              <w:tabs>
                <w:tab w:val="clear" w:pos="1080"/>
                <w:tab w:val="left" w:pos="993"/>
                <w:tab w:val="left" w:pos="1134"/>
              </w:tabs>
              <w:spacing w:after="0"/>
              <w:ind w:left="0"/>
              <w:jc w:val="both"/>
            </w:pPr>
            <w:r w:rsidRPr="0000471E">
              <w:t>1. Повышение качества жизни населения (часть 1 статьи 4 главы 2).</w:t>
            </w:r>
          </w:p>
          <w:p w:rsidR="0000471E" w:rsidRPr="0000471E" w:rsidRDefault="0000471E" w:rsidP="00EB0971">
            <w:pPr>
              <w:pStyle w:val="a3"/>
              <w:tabs>
                <w:tab w:val="clear" w:pos="1080"/>
                <w:tab w:val="left" w:pos="993"/>
                <w:tab w:val="left" w:pos="1134"/>
              </w:tabs>
              <w:spacing w:after="0"/>
              <w:ind w:left="0"/>
              <w:jc w:val="both"/>
            </w:pPr>
            <w:r w:rsidRPr="0000471E">
              <w:t>2.Развитие гражданского общества (пункт 10 статьи 10 главы 4).</w:t>
            </w:r>
          </w:p>
          <w:p w:rsidR="0000471E" w:rsidRPr="0000471E" w:rsidRDefault="0000471E" w:rsidP="00EB0971">
            <w:pPr>
              <w:pStyle w:val="a3"/>
              <w:tabs>
                <w:tab w:val="clear" w:pos="1080"/>
                <w:tab w:val="left" w:pos="993"/>
                <w:tab w:val="left" w:pos="1134"/>
              </w:tabs>
              <w:spacing w:after="0"/>
              <w:ind w:left="0"/>
              <w:jc w:val="both"/>
            </w:pPr>
            <w:r w:rsidRPr="0000471E">
              <w:t>3. Развитие культурных потребностей населения (пункт 1 статьи 13, главы 4).</w:t>
            </w:r>
          </w:p>
          <w:p w:rsidR="0000471E" w:rsidRPr="0000471E" w:rsidRDefault="0000471E" w:rsidP="00EB0971">
            <w:pPr>
              <w:pStyle w:val="a3"/>
              <w:tabs>
                <w:tab w:val="clear" w:pos="1080"/>
                <w:tab w:val="left" w:pos="993"/>
                <w:tab w:val="left" w:pos="1134"/>
              </w:tabs>
              <w:spacing w:after="0"/>
              <w:ind w:left="0"/>
              <w:jc w:val="both"/>
            </w:pPr>
            <w:r w:rsidRPr="0000471E">
              <w:t>4. Развитие и популяризации физической культуры и спорта в городе (подпункт 1 части 1 статьи 15 главы 4).</w:t>
            </w:r>
          </w:p>
          <w:p w:rsidR="0000471E" w:rsidRPr="0000471E" w:rsidRDefault="0000471E" w:rsidP="00EB0971">
            <w:pPr>
              <w:autoSpaceDE w:val="0"/>
              <w:autoSpaceDN w:val="0"/>
              <w:adjustRightInd w:val="0"/>
              <w:jc w:val="both"/>
              <w:rPr>
                <w:sz w:val="24"/>
                <w:szCs w:val="24"/>
              </w:rPr>
            </w:pPr>
            <w:r w:rsidRPr="0000471E">
              <w:rPr>
                <w:sz w:val="24"/>
                <w:szCs w:val="24"/>
              </w:rPr>
              <w:t>5. Обеспечение населения города благоустроенным жильём и повышение инфраструктурной обеспеченности  (пункт 6 части 1 статьи 16 главы 4).</w:t>
            </w:r>
          </w:p>
        </w:tc>
      </w:tr>
    </w:tbl>
    <w:p w:rsidR="000F1028" w:rsidRPr="0000471E" w:rsidRDefault="000F1028">
      <w:pPr>
        <w:rPr>
          <w:sz w:val="24"/>
          <w:szCs w:val="24"/>
        </w:rPr>
      </w:pPr>
    </w:p>
    <w:p w:rsidR="0000471E" w:rsidRPr="0000471E" w:rsidRDefault="0000471E">
      <w:pPr>
        <w:rPr>
          <w:sz w:val="24"/>
          <w:szCs w:val="24"/>
        </w:rPr>
      </w:pPr>
    </w:p>
    <w:sectPr w:rsidR="0000471E" w:rsidRPr="0000471E" w:rsidSect="00EB0971">
      <w:headerReference w:type="default" r:id="rId6"/>
      <w:pgSz w:w="11906" w:h="16838"/>
      <w:pgMar w:top="851" w:right="850" w:bottom="1134" w:left="1985" w:header="283" w:footer="0" w:gutter="0"/>
      <w:pgNumType w:start="7"/>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971" w:rsidRDefault="00EB0971" w:rsidP="00EB0971">
      <w:r>
        <w:separator/>
      </w:r>
    </w:p>
  </w:endnote>
  <w:endnote w:type="continuationSeparator" w:id="0">
    <w:p w:rsidR="00EB0971" w:rsidRDefault="00EB0971" w:rsidP="00EB0971">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971" w:rsidRDefault="00EB0971" w:rsidP="00EB0971">
      <w:r>
        <w:separator/>
      </w:r>
    </w:p>
  </w:footnote>
  <w:footnote w:type="continuationSeparator" w:id="0">
    <w:p w:rsidR="00EB0971" w:rsidRDefault="00EB0971" w:rsidP="00EB09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488169"/>
      <w:docPartObj>
        <w:docPartGallery w:val="Page Numbers (Top of Page)"/>
        <w:docPartUnique/>
      </w:docPartObj>
    </w:sdtPr>
    <w:sdtEndPr>
      <w:rPr>
        <w:sz w:val="22"/>
        <w:szCs w:val="22"/>
      </w:rPr>
    </w:sdtEndPr>
    <w:sdtContent>
      <w:p w:rsidR="00EB0971" w:rsidRPr="00EB0971" w:rsidRDefault="00EB0971" w:rsidP="00EB0971">
        <w:pPr>
          <w:pStyle w:val="a4"/>
          <w:jc w:val="center"/>
          <w:rPr>
            <w:sz w:val="22"/>
            <w:szCs w:val="22"/>
          </w:rPr>
        </w:pPr>
        <w:r w:rsidRPr="00EB0971">
          <w:rPr>
            <w:sz w:val="22"/>
            <w:szCs w:val="22"/>
          </w:rPr>
          <w:fldChar w:fldCharType="begin"/>
        </w:r>
        <w:r w:rsidRPr="00EB0971">
          <w:rPr>
            <w:sz w:val="22"/>
            <w:szCs w:val="22"/>
          </w:rPr>
          <w:instrText xml:space="preserve"> PAGE   \* MERGEFORMAT </w:instrText>
        </w:r>
        <w:r w:rsidRPr="00EB0971">
          <w:rPr>
            <w:sz w:val="22"/>
            <w:szCs w:val="22"/>
          </w:rPr>
          <w:fldChar w:fldCharType="separate"/>
        </w:r>
        <w:r>
          <w:rPr>
            <w:noProof/>
            <w:sz w:val="22"/>
            <w:szCs w:val="22"/>
          </w:rPr>
          <w:t>8</w:t>
        </w:r>
        <w:r w:rsidRPr="00EB0971">
          <w:rPr>
            <w:sz w:val="22"/>
            <w:szCs w:val="22"/>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4419F9"/>
    <w:rsid w:val="0000471E"/>
    <w:rsid w:val="000F1028"/>
    <w:rsid w:val="003929AA"/>
    <w:rsid w:val="004419F9"/>
    <w:rsid w:val="00647922"/>
    <w:rsid w:val="00662762"/>
    <w:rsid w:val="00AD43C7"/>
    <w:rsid w:val="00EB0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71E"/>
    <w:pPr>
      <w:suppressAutoHyphens/>
      <w:spacing w:after="0"/>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0471E"/>
    <w:pPr>
      <w:tabs>
        <w:tab w:val="num" w:pos="1080"/>
      </w:tabs>
      <w:suppressAutoHyphens w:val="0"/>
      <w:spacing w:after="120"/>
      <w:ind w:left="720"/>
      <w:contextualSpacing/>
    </w:pPr>
    <w:rPr>
      <w:color w:val="000000"/>
      <w:sz w:val="24"/>
      <w:szCs w:val="24"/>
      <w:lang w:eastAsia="ru-RU"/>
    </w:rPr>
  </w:style>
  <w:style w:type="character" w:customStyle="1" w:styleId="ConsPlusNormal">
    <w:name w:val="ConsPlusNormal Знак"/>
    <w:link w:val="ConsPlusNormal0"/>
    <w:locked/>
    <w:rsid w:val="0000471E"/>
    <w:rPr>
      <w:rFonts w:ascii="Arial" w:eastAsia="Arial" w:hAnsi="Arial" w:cs="Arial"/>
      <w:lang w:eastAsia="ar-SA"/>
    </w:rPr>
  </w:style>
  <w:style w:type="paragraph" w:customStyle="1" w:styleId="ConsPlusNormal0">
    <w:name w:val="ConsPlusNormal"/>
    <w:link w:val="ConsPlusNormal"/>
    <w:rsid w:val="0000471E"/>
    <w:pPr>
      <w:widowControl w:val="0"/>
      <w:suppressAutoHyphens/>
      <w:autoSpaceDE w:val="0"/>
      <w:spacing w:after="0"/>
      <w:ind w:firstLine="720"/>
    </w:pPr>
    <w:rPr>
      <w:rFonts w:ascii="Arial" w:eastAsia="Arial" w:hAnsi="Arial" w:cs="Arial"/>
      <w:lang w:eastAsia="ar-SA"/>
    </w:rPr>
  </w:style>
  <w:style w:type="paragraph" w:styleId="a4">
    <w:name w:val="header"/>
    <w:basedOn w:val="a"/>
    <w:link w:val="a5"/>
    <w:uiPriority w:val="99"/>
    <w:unhideWhenUsed/>
    <w:rsid w:val="00EB0971"/>
    <w:pPr>
      <w:tabs>
        <w:tab w:val="center" w:pos="4677"/>
        <w:tab w:val="right" w:pos="9355"/>
      </w:tabs>
    </w:pPr>
  </w:style>
  <w:style w:type="character" w:customStyle="1" w:styleId="a5">
    <w:name w:val="Верхний колонтитул Знак"/>
    <w:basedOn w:val="a0"/>
    <w:link w:val="a4"/>
    <w:uiPriority w:val="99"/>
    <w:rsid w:val="00EB0971"/>
    <w:rPr>
      <w:rFonts w:ascii="Times New Roman" w:eastAsia="Times New Roman" w:hAnsi="Times New Roman" w:cs="Times New Roman"/>
      <w:sz w:val="28"/>
      <w:szCs w:val="28"/>
      <w:lang w:eastAsia="ar-SA"/>
    </w:rPr>
  </w:style>
  <w:style w:type="paragraph" w:styleId="a6">
    <w:name w:val="footer"/>
    <w:basedOn w:val="a"/>
    <w:link w:val="a7"/>
    <w:uiPriority w:val="99"/>
    <w:semiHidden/>
    <w:unhideWhenUsed/>
    <w:rsid w:val="00EB0971"/>
    <w:pPr>
      <w:tabs>
        <w:tab w:val="center" w:pos="4677"/>
        <w:tab w:val="right" w:pos="9355"/>
      </w:tabs>
    </w:pPr>
  </w:style>
  <w:style w:type="character" w:customStyle="1" w:styleId="a7">
    <w:name w:val="Нижний колонтитул Знак"/>
    <w:basedOn w:val="a0"/>
    <w:link w:val="a6"/>
    <w:uiPriority w:val="99"/>
    <w:semiHidden/>
    <w:rsid w:val="00EB0971"/>
    <w:rPr>
      <w:rFonts w:ascii="Times New Roman" w:eastAsia="Times New Roman" w:hAnsi="Times New Roman" w:cs="Times New Roman"/>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71E"/>
    <w:pPr>
      <w:suppressAutoHyphens/>
      <w:spacing w:after="0"/>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0471E"/>
    <w:pPr>
      <w:tabs>
        <w:tab w:val="num" w:pos="1080"/>
      </w:tabs>
      <w:suppressAutoHyphens w:val="0"/>
      <w:spacing w:after="120"/>
      <w:ind w:left="720"/>
      <w:contextualSpacing/>
    </w:pPr>
    <w:rPr>
      <w:color w:val="000000"/>
      <w:sz w:val="24"/>
      <w:szCs w:val="24"/>
      <w:lang w:eastAsia="ru-RU"/>
    </w:rPr>
  </w:style>
  <w:style w:type="character" w:customStyle="1" w:styleId="ConsPlusNormal">
    <w:name w:val="ConsPlusNormal Знак"/>
    <w:link w:val="ConsPlusNormal0"/>
    <w:locked/>
    <w:rsid w:val="0000471E"/>
    <w:rPr>
      <w:rFonts w:ascii="Arial" w:eastAsia="Arial" w:hAnsi="Arial" w:cs="Arial"/>
      <w:lang w:eastAsia="ar-SA"/>
    </w:rPr>
  </w:style>
  <w:style w:type="paragraph" w:customStyle="1" w:styleId="ConsPlusNormal0">
    <w:name w:val="ConsPlusNormal"/>
    <w:link w:val="ConsPlusNormal"/>
    <w:rsid w:val="0000471E"/>
    <w:pPr>
      <w:widowControl w:val="0"/>
      <w:suppressAutoHyphens/>
      <w:autoSpaceDE w:val="0"/>
      <w:spacing w:after="0"/>
      <w:ind w:firstLine="720"/>
    </w:pPr>
    <w:rPr>
      <w:rFonts w:ascii="Arial" w:eastAsia="Arial" w:hAnsi="Arial" w:cs="Arial"/>
      <w:lang w:eastAsia="ar-SA"/>
    </w:rPr>
  </w:style>
</w:styles>
</file>

<file path=word/webSettings.xml><?xml version="1.0" encoding="utf-8"?>
<w:webSettings xmlns:r="http://schemas.openxmlformats.org/officeDocument/2006/relationships" xmlns:w="http://schemas.openxmlformats.org/wordprocessingml/2006/main">
  <w:divs>
    <w:div w:id="77464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спект">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3483</Characters>
  <Application>Microsoft Office Word</Application>
  <DocSecurity>0</DocSecurity>
  <Lines>29</Lines>
  <Paragraphs>8</Paragraphs>
  <ScaleCrop>false</ScaleCrop>
  <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Амерханова Бэла Рамзановна</dc:creator>
  <cp:keywords/>
  <dc:description/>
  <cp:lastModifiedBy>Finansist-02</cp:lastModifiedBy>
  <cp:revision>4</cp:revision>
  <dcterms:created xsi:type="dcterms:W3CDTF">2020-10-30T09:17:00Z</dcterms:created>
  <dcterms:modified xsi:type="dcterms:W3CDTF">2020-11-02T12:38:00Z</dcterms:modified>
</cp:coreProperties>
</file>