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FC" w:rsidRPr="009F5FAB" w:rsidRDefault="00203FFC" w:rsidP="00203FFC">
      <w:pPr>
        <w:adjustRightInd/>
        <w:jc w:val="center"/>
        <w:rPr>
          <w:sz w:val="24"/>
          <w:szCs w:val="24"/>
        </w:rPr>
      </w:pPr>
      <w:r w:rsidRPr="009F5FAB">
        <w:rPr>
          <w:sz w:val="24"/>
          <w:szCs w:val="24"/>
        </w:rPr>
        <w:t>Паспорт муниципальной программы</w:t>
      </w:r>
    </w:p>
    <w:p w:rsidR="009F5FAB" w:rsidRPr="009F5FAB" w:rsidRDefault="009F5FAB" w:rsidP="00203FFC">
      <w:pPr>
        <w:adjustRightInd/>
        <w:jc w:val="center"/>
        <w:rPr>
          <w:sz w:val="24"/>
          <w:szCs w:val="24"/>
        </w:rPr>
      </w:pPr>
      <w:r w:rsidRPr="009F5FAB">
        <w:rPr>
          <w:sz w:val="24"/>
          <w:szCs w:val="24"/>
          <w:lang w:eastAsia="ar-SA"/>
        </w:rPr>
        <w:t>«Развитие жилищно-коммунального комплекса и повышение энергетической эффективности в городе Покачи»</w:t>
      </w:r>
    </w:p>
    <w:p w:rsidR="00203FFC" w:rsidRPr="009F5FAB" w:rsidRDefault="00203FFC" w:rsidP="00203FFC">
      <w:pPr>
        <w:adjustRightInd/>
        <w:jc w:val="center"/>
        <w:rPr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687"/>
        <w:gridCol w:w="5102"/>
      </w:tblGrid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  <w:lang w:eastAsia="ar-SA"/>
              </w:rPr>
              <w:t>Развитие жилищно-коммунального комплекса и повышение энергетической эффективности в городе Покачи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Постановление администрации города Покачи от 12.10.2018 № 999 «Об утверждении муниципальной программы «</w:t>
            </w:r>
            <w:r w:rsidRPr="009F5FAB">
              <w:rPr>
                <w:sz w:val="24"/>
                <w:szCs w:val="24"/>
                <w:lang w:eastAsia="ar-SA"/>
              </w:rPr>
              <w:t>Развитие жилищно-коммунального комплекса и повышение энергетической эффективности</w:t>
            </w:r>
            <w:r w:rsidR="009F5FAB">
              <w:rPr>
                <w:sz w:val="24"/>
                <w:szCs w:val="24"/>
                <w:lang w:eastAsia="ar-SA"/>
              </w:rPr>
              <w:t xml:space="preserve"> </w:t>
            </w:r>
            <w:r w:rsidRPr="009F5FAB">
              <w:rPr>
                <w:sz w:val="24"/>
                <w:szCs w:val="24"/>
                <w:lang w:eastAsia="ar-SA"/>
              </w:rPr>
              <w:t>в городе Покачи</w:t>
            </w:r>
            <w:r w:rsidRPr="009F5FAB">
              <w:rPr>
                <w:sz w:val="24"/>
                <w:szCs w:val="24"/>
              </w:rPr>
              <w:t>»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Управление жилищно-коммунального хозяйства администрации города Покачи (далее - УЖКХ)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F5FAB">
              <w:rPr>
                <w:rFonts w:eastAsiaTheme="minorHAnsi"/>
                <w:sz w:val="24"/>
                <w:szCs w:val="24"/>
                <w:lang w:eastAsia="en-US"/>
              </w:rPr>
              <w:t>1. МУ «Управление капитального строительства» (далее -  УКС).</w:t>
            </w:r>
          </w:p>
          <w:p w:rsidR="00203FFC" w:rsidRPr="009F5FAB" w:rsidRDefault="00203FFC" w:rsidP="00E632CB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F5FAB">
              <w:rPr>
                <w:rFonts w:eastAsiaTheme="minorHAnsi"/>
                <w:sz w:val="24"/>
                <w:szCs w:val="24"/>
                <w:lang w:eastAsia="en-US"/>
              </w:rPr>
              <w:t>2. Комитет по управлению муниципальным имуществом администрации города Покачи (далее – КУМИ).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Theme="minorHAnsi"/>
                <w:sz w:val="24"/>
                <w:szCs w:val="24"/>
                <w:lang w:eastAsia="en-US"/>
              </w:rPr>
              <w:t>3. Предприятия коммунального комплекса, подрядные организации.</w:t>
            </w:r>
          </w:p>
        </w:tc>
      </w:tr>
      <w:tr w:rsidR="00203FFC" w:rsidRPr="009F5FAB" w:rsidTr="00E632CB">
        <w:trPr>
          <w:trHeight w:val="1020"/>
        </w:trPr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suppressAutoHyphen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1. Повышение качества и надежности предоставления жилищно-коммунальных услуг.</w:t>
            </w:r>
          </w:p>
          <w:p w:rsidR="00203FFC" w:rsidRPr="009F5FAB" w:rsidRDefault="00203FFC" w:rsidP="00E632CB">
            <w:pPr>
              <w:suppressAutoHyphen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2. Создание безопасных и благоприятных условий проживания граждан.</w:t>
            </w:r>
          </w:p>
          <w:p w:rsidR="00203FFC" w:rsidRPr="009F5FAB" w:rsidRDefault="00203FFC" w:rsidP="00E632CB">
            <w:pPr>
              <w:suppressAutoHyphen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3. Повышение эффективности использования топливно-энергетических ресурсов.</w:t>
            </w:r>
          </w:p>
          <w:p w:rsidR="00203FFC" w:rsidRPr="009F5FAB" w:rsidRDefault="00203FFC" w:rsidP="00E632CB">
            <w:pPr>
              <w:suppressAutoHyphen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4. Содержание объектов внешнего благоустройства городского округа города Покачи.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suppressAutoHyphens/>
              <w:ind w:right="3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sz w:val="24"/>
                <w:szCs w:val="24"/>
              </w:rPr>
              <w:t>1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>. Создание условий для обеспечения качественными коммунальными услугами; развитие и модернизация энергетической отрасли.</w:t>
            </w:r>
          </w:p>
          <w:p w:rsidR="00203FFC" w:rsidRPr="009F5FAB" w:rsidRDefault="00203FFC" w:rsidP="00E632CB">
            <w:pPr>
              <w:suppressAutoHyphens/>
              <w:ind w:right="3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2. Приведение в нормативное состояние  инженерных систем и конструктивных элементов многоквартирных домов, направленных на обеспечение надежности и отвечающих требованиям действующего законодательства.</w:t>
            </w:r>
          </w:p>
          <w:p w:rsidR="00203FFC" w:rsidRPr="009F5FAB" w:rsidRDefault="00203FFC" w:rsidP="00E632CB">
            <w:pPr>
              <w:suppressAutoHyphens/>
              <w:ind w:right="3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3. Повышение энергетической эффективности при производстве и передачи энергетических ресурсов; повышение энергетической эффективности в бюджетной сфере.</w:t>
            </w:r>
          </w:p>
          <w:p w:rsidR="00203FFC" w:rsidRPr="009F5FAB" w:rsidRDefault="00203FFC" w:rsidP="00E632CB">
            <w:pPr>
              <w:jc w:val="both"/>
              <w:rPr>
                <w:sz w:val="24"/>
                <w:szCs w:val="24"/>
              </w:rPr>
            </w:pPr>
            <w:r w:rsidRPr="009F5FAB">
              <w:rPr>
                <w:rFonts w:eastAsia="Calibri"/>
                <w:sz w:val="24"/>
                <w:szCs w:val="24"/>
                <w:lang w:eastAsia="en-US"/>
              </w:rPr>
              <w:t>4. Установление единого порядка содержания внешнего благоустройства на территории города.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Подпрограмма 1. Создание условий для обеспечения качественными коммунальными услугами.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Подпрограмма 2. Содействие проведению капитального ремонта многоквартирных домов.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Подпрограмма 3. 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 xml:space="preserve">Подпрограмма 4. Повышение </w:t>
            </w:r>
            <w:proofErr w:type="spellStart"/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энергоэффективности</w:t>
            </w:r>
            <w:proofErr w:type="spellEnd"/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 xml:space="preserve"> в отраслях экономики.</w:t>
            </w:r>
          </w:p>
          <w:p w:rsidR="00203FFC" w:rsidRPr="009F5FAB" w:rsidRDefault="00203FFC" w:rsidP="00E632CB">
            <w:pPr>
              <w:jc w:val="both"/>
              <w:rPr>
                <w:sz w:val="24"/>
                <w:szCs w:val="24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Подпрограмма 5. Содержание объектов внешнего благоустройства  города Покачи.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обеспечения  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Экология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9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1. Увеличение протяженности инженерных сетей тепло-, водоснабжения, водоотведения, на которых проведен капитальный ремонт, с 0 до 0,262 км.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2. Сохранение количества предоставляемых субсидий в целях возмещения недополученных доходов организаций, оказывающих услуги в сфере по водоснабжению и водоотведению, до 8 шт.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Увеличение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выведенных объектов из реестра опасных производственных объектов, с 0 до 1 шт.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4. Увеличение количества отремонтированных многоквартирных домов/ количества отремонтированных конструктивных элементов в многоквартирных домах, с 0 до 21/54 шт.       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5. Сохранения доли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(используем, до 100%ой) на территории муниципального образования, до 100%.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6. Сохранение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образования, до 100%. 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lastRenderedPageBreak/>
              <w:t>7. Сохранение доли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образования, до 100%.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color w:val="000000"/>
                <w:sz w:val="24"/>
                <w:szCs w:val="24"/>
                <w:lang w:eastAsia="en-US"/>
              </w:rPr>
              <w:t>8. Сохранение доли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образования, до 100%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9.</w:t>
            </w:r>
            <w:r w:rsidRPr="009F5FA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Сохранение доли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F5FAB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образования,  до 0%.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color w:val="000000"/>
                <w:sz w:val="24"/>
                <w:szCs w:val="24"/>
                <w:lang w:eastAsia="en-US"/>
              </w:rPr>
              <w:t>10.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F5FAB">
              <w:rPr>
                <w:rFonts w:eastAsia="Calibri"/>
                <w:color w:val="000000"/>
                <w:sz w:val="24"/>
                <w:szCs w:val="24"/>
                <w:lang w:eastAsia="en-US"/>
              </w:rPr>
              <w:t>Сохранение доли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образования, до 0%.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11. Снижение удельного расхода электрической энергии на снабжение органов местного самоуправления и муниципальных учреждений (в расчете на 1 кв. метр общей площади), с 48,33 до 48,19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.ч</w:t>
            </w:r>
            <w:proofErr w:type="spellEnd"/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/м2.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12. Снижение удельного расхода  тепловой энергии на снабжение органов местного самоуправления и муниципальных учреждений (в расчете на 1 кв. метр общей площади) с  0,2199 до 0,2197 Гкал/м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13. Снижение удельного расхода холодной воды на снабжение органов местного самоуправления и муниципальных учреждений (в расчете на 1 человека), с 8,96 до 8,94 м3/чел.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14. Снижение удельного расхода  горячей воды на снабжение органов местного самоуправления и муниципальных учреждений (в расчете на 1 человека), с 4,68 до 4,67 м3/чел.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15. Сохранение </w:t>
            </w:r>
            <w:r w:rsidRPr="009F5FAB">
              <w:rPr>
                <w:rFonts w:eastAsia="Calibri"/>
                <w:color w:val="000000"/>
                <w:sz w:val="24"/>
                <w:szCs w:val="24"/>
                <w:lang w:eastAsia="en-US"/>
              </w:rPr>
              <w:t>удельного расхода природного газа на снабжение органов местного самоуправления и муниципальных учреждений (в расчете на 1 человека), до 0 %.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16. Сохранение отношения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lastRenderedPageBreak/>
              <w:t>финансирования муниципальной программы, до 0%.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17. Увеличение количества энергосервисных договоров (контрактов), заключенных органами местного самоуправления и муниципальными учреждениями, до 3 шт.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18. Снижение удельного расхода тепловой энергии в многоквартирных домах (в расчете на 1 кв. метр общей площади), с 0,26 до 0,25 Гкал/м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19. Снижение удельного расхода холодной воды в многоквартирных домах (в расчете на 1 жителя), с 24,02 до 23,97 м3/чел.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20. Снижение удельного расхода горячей воды в многоквартирных домах (в расчете на 1 жителя), с 15,28 до 15,24 м3/чел.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21. Снижение удельного расхода электрической энергии в многоквартирных домах (в расчете на 1 кв. метр общей площади), с 46,44 до 46,35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.ч</w:t>
            </w:r>
            <w:proofErr w:type="spellEnd"/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/м2.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22. Сохранение удельного расхода природного газа в многоквартирных домах с индивидуальными системами газового отопления (в расчете на 1 кв. м общей площади), до 0 тыс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.к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уб.м/чел.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23. Сохранение удельного расхода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природного газа в многоквартирных домах с иными системами теплоснабжения (в расчете на 1 жителя), до 0 тыс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.к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уб.м/чел.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24. Снижение удельного суммарного расхода энергетических ресурсов в многоквартирных домах, с 0,056 до 0,053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т.у.т</w:t>
            </w:r>
            <w:proofErr w:type="spell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./м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25. Сохранение удельного расхода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топлива на выработку тепловой энергии на тепловых электростанциях, до 0 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т.у.т</w:t>
            </w:r>
            <w:proofErr w:type="spell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./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.ч</w:t>
            </w:r>
            <w:proofErr w:type="spellEnd"/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26. Сохранение удельного расхода топлива на выработку тепловой энергии на котельных, до 150,58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т.у.т</w:t>
            </w:r>
            <w:proofErr w:type="spell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./Гкал.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27. Сохранение удельного  расхода электрической энергии, используемой при передаче тепловой энергии в системах теплоснабжения, до12,60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кВт.ч</w:t>
            </w:r>
            <w:proofErr w:type="spell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/тыс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.Г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кал.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28. Сохранение доли потерь тепловой энергии при ее передаче в общем объеме переданной тепловой энергии, до 10,58%.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29. Сохранение доли потерь воды при ее передаче в общем объеме переданной воды, до 3,95%. 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30. Сохранение удельного расхода электрической энергии, используемой для передачи (транспортировки) воды в системах водоснабжения, до 0,73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.ч</w:t>
            </w:r>
            <w:proofErr w:type="spellEnd"/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/.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31. Снижение удельного расхода электрической энергии, используемой в системах 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lastRenderedPageBreak/>
              <w:t xml:space="preserve">водоотведения (на 1 куб. метр), с 1,51 до 1,42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.ч</w:t>
            </w:r>
            <w:proofErr w:type="spellEnd"/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/м3.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32. Сохранение удельного расхода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нормативам), до 3,241 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кВт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.ч</w:t>
            </w:r>
            <w:proofErr w:type="spellEnd"/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/м2.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33.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Сохранение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до 0 ед.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34.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F5FAB">
              <w:rPr>
                <w:rFonts w:eastAsia="Calibri"/>
                <w:sz w:val="24"/>
                <w:szCs w:val="24"/>
                <w:lang w:eastAsia="en-US"/>
              </w:rPr>
              <w:t>Сохранение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 энергии, до 0 ед.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35.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Сохранение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образованием, до 0 ед.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36.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Сохранение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образованием, до 0 ед.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highlight w:val="yellow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37.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F5FAB">
              <w:rPr>
                <w:rFonts w:eastAsia="Calibri"/>
                <w:sz w:val="24"/>
                <w:szCs w:val="24"/>
                <w:lang w:eastAsia="en-US"/>
              </w:rPr>
              <w:t>Сохранение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оличества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lastRenderedPageBreak/>
              <w:t>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топлива, до 0 ед.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highlight w:val="yellow"/>
                <w:lang w:eastAsia="ar-SA"/>
              </w:rPr>
              <w:t xml:space="preserve"> </w:t>
            </w:r>
            <w:proofErr w:type="gramEnd"/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highlight w:val="yellow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38.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 xml:space="preserve"> Сохранение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предприятиями, до 0 ед.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39. Снижение количества обращений граждан </w:t>
            </w:r>
            <w:proofErr w:type="gram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об</w:t>
            </w:r>
            <w:proofErr w:type="gram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 неудовлетворительном уровне освещенности городских территорий (не более 5 обращений граждан)5 обращений граждан), с 5 до 3 обращений.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40. Снижение количества обращений граждан в бюджетное учреждение Ханты-Мансийского автономного округа - Югры </w:t>
            </w:r>
            <w:r w:rsidR="006662F6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«</w:t>
            </w:r>
            <w:proofErr w:type="spellStart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Покачевская</w:t>
            </w:r>
            <w:proofErr w:type="spellEnd"/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 городская больница</w:t>
            </w:r>
            <w:r w:rsidR="006662F6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»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 приемно-диагностическое отделение по поводу укусов животными, с 6 до 4 обращений.</w:t>
            </w:r>
          </w:p>
          <w:p w:rsidR="00203FFC" w:rsidRPr="009F5FAB" w:rsidRDefault="00203FFC" w:rsidP="00E632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 xml:space="preserve">41. </w:t>
            </w:r>
            <w:r w:rsidRPr="009F5FAB">
              <w:rPr>
                <w:rFonts w:eastAsia="Calibri"/>
                <w:sz w:val="24"/>
                <w:szCs w:val="24"/>
                <w:lang w:eastAsia="en-US"/>
              </w:rPr>
              <w:t>Снижение к</w:t>
            </w: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оличества обращений граждан по похоронному делу (не более 3 обращений граждан), с 3 до 2 обращений.</w:t>
            </w:r>
          </w:p>
          <w:p w:rsidR="00203FFC" w:rsidRPr="009F5FAB" w:rsidRDefault="00203FFC" w:rsidP="00E632CB">
            <w:pPr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/>
                <w:sz w:val="24"/>
                <w:szCs w:val="24"/>
                <w:lang w:eastAsia="ar-SA"/>
              </w:rPr>
              <w:t>42. Увеличение количества покрашенных фасадов домов, с 0 до 6 шт.</w:t>
            </w:r>
          </w:p>
          <w:p w:rsidR="00203FFC" w:rsidRPr="009F5FAB" w:rsidRDefault="00203FFC" w:rsidP="00E632CB">
            <w:pPr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43.</w:t>
            </w:r>
            <w:r w:rsidR="00C01212" w:rsidRPr="009F5FAB">
              <w:rPr>
                <w:sz w:val="24"/>
                <w:szCs w:val="24"/>
              </w:rPr>
              <w:t>Увеличение количества</w:t>
            </w:r>
            <w:r w:rsidRPr="009F5FAB">
              <w:rPr>
                <w:sz w:val="24"/>
                <w:szCs w:val="24"/>
              </w:rPr>
              <w:t xml:space="preserve"> обустроенных площадок, в том числе приобретение контейнеров для сбора ТКО</w:t>
            </w:r>
          </w:p>
          <w:p w:rsidR="00203FFC" w:rsidRPr="009F5FAB" w:rsidRDefault="00203FFC" w:rsidP="00E632CB">
            <w:pPr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44.</w:t>
            </w:r>
            <w:r w:rsidR="00C01212" w:rsidRPr="009F5FAB">
              <w:rPr>
                <w:sz w:val="24"/>
                <w:szCs w:val="24"/>
              </w:rPr>
              <w:t xml:space="preserve">Сохранение доли </w:t>
            </w:r>
            <w:r w:rsidRPr="009F5FAB">
              <w:rPr>
                <w:sz w:val="24"/>
                <w:szCs w:val="24"/>
              </w:rPr>
              <w:t>проб сточных вод несоответствующих установленным нормативам допустимых сбросам</w:t>
            </w:r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2019 - 2024 годы и на период до 2030 года</w:t>
            </w:r>
            <w:bookmarkStart w:id="0" w:name="_GoBack"/>
            <w:bookmarkEnd w:id="0"/>
          </w:p>
        </w:tc>
      </w:tr>
      <w:tr w:rsidR="00203FFC" w:rsidRPr="009F5FAB" w:rsidTr="00E632CB"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11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Общий объем финансирования  231 230 864,18 рублей, в том числе по годам: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2019 год – 73 867 521,67 рублей,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2020 год – 40 052 022,22 рублей,</w:t>
            </w:r>
          </w:p>
          <w:p w:rsidR="00203FFC" w:rsidRPr="009F5FAB" w:rsidRDefault="00203FFC" w:rsidP="00E632C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2021 год – 36 120 864,99 рублей,</w:t>
            </w:r>
          </w:p>
          <w:p w:rsidR="00203FFC" w:rsidRPr="009F5FAB" w:rsidRDefault="00203FFC" w:rsidP="00E632CB">
            <w:pPr>
              <w:suppressAutoHyphens/>
              <w:snapToGrid w:val="0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2022 год – 33 865 100,00 рублей,</w:t>
            </w:r>
          </w:p>
          <w:p w:rsidR="00203FFC" w:rsidRPr="009F5FAB" w:rsidRDefault="00203FFC" w:rsidP="00E632CB">
            <w:pPr>
              <w:suppressAutoHyphens/>
              <w:snapToGrid w:val="0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2023 год – 47 625 355,30 рублей,</w:t>
            </w:r>
          </w:p>
          <w:p w:rsidR="00203FFC" w:rsidRPr="009F5FAB" w:rsidRDefault="00203FFC" w:rsidP="00E632CB">
            <w:pPr>
              <w:snapToGrid w:val="0"/>
              <w:jc w:val="both"/>
              <w:rPr>
                <w:sz w:val="24"/>
                <w:szCs w:val="24"/>
              </w:rPr>
            </w:pPr>
            <w:r w:rsidRPr="009F5FAB">
              <w:rPr>
                <w:rFonts w:eastAsia="Calibri"/>
                <w:bCs/>
                <w:color w:val="000000" w:themeColor="text1"/>
                <w:sz w:val="24"/>
                <w:szCs w:val="24"/>
                <w:lang w:eastAsia="ar-SA"/>
              </w:rPr>
              <w:t>2024 – 2030 годы  –  0,00 рублей.</w:t>
            </w:r>
          </w:p>
        </w:tc>
      </w:tr>
      <w:tr w:rsidR="00203FFC" w:rsidRPr="009F5FAB" w:rsidTr="00E632CB">
        <w:trPr>
          <w:trHeight w:val="1101"/>
        </w:trPr>
        <w:tc>
          <w:tcPr>
            <w:tcW w:w="567" w:type="dxa"/>
          </w:tcPr>
          <w:p w:rsidR="00203FFC" w:rsidRPr="009F5FAB" w:rsidRDefault="00203FFC" w:rsidP="00E632CB">
            <w:pPr>
              <w:adjustRightInd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12</w:t>
            </w:r>
          </w:p>
        </w:tc>
        <w:tc>
          <w:tcPr>
            <w:tcW w:w="3687" w:type="dxa"/>
          </w:tcPr>
          <w:p w:rsidR="00203FFC" w:rsidRPr="009F5FAB" w:rsidRDefault="00203FFC" w:rsidP="00E632CB">
            <w:pPr>
              <w:ind w:left="30" w:right="30"/>
              <w:jc w:val="both"/>
              <w:rPr>
                <w:sz w:val="24"/>
                <w:szCs w:val="24"/>
              </w:rPr>
            </w:pPr>
            <w:r w:rsidRPr="009F5FAB">
              <w:rPr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102" w:type="dxa"/>
          </w:tcPr>
          <w:p w:rsidR="00203FFC" w:rsidRPr="009F5FAB" w:rsidRDefault="00203FFC" w:rsidP="00E632CB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F5FAB">
              <w:rPr>
                <w:bCs/>
                <w:color w:val="000000"/>
                <w:sz w:val="24"/>
                <w:szCs w:val="24"/>
                <w:lang w:eastAsia="ar-SA"/>
              </w:rPr>
              <w:t>Инфраструктурное развитие территории в сфере коммунального и дорожного хозяйства, электроэнергетики и связи (п. 1, 2, ч. 1, ст.5)</w:t>
            </w:r>
          </w:p>
        </w:tc>
      </w:tr>
    </w:tbl>
    <w:p w:rsidR="004F5FEE" w:rsidRPr="009F5FAB" w:rsidRDefault="004F5FEE" w:rsidP="00203FFC">
      <w:pPr>
        <w:ind w:left="-284"/>
        <w:rPr>
          <w:sz w:val="24"/>
          <w:szCs w:val="24"/>
        </w:rPr>
      </w:pPr>
    </w:p>
    <w:sectPr w:rsidR="004F5FEE" w:rsidRPr="009F5FAB" w:rsidSect="00E632CB">
      <w:headerReference w:type="default" r:id="rId6"/>
      <w:pgSz w:w="11906" w:h="16838"/>
      <w:pgMar w:top="567" w:right="567" w:bottom="1134" w:left="1985" w:header="283" w:footer="0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2CB" w:rsidRDefault="00E632CB" w:rsidP="00E632CB">
      <w:r>
        <w:separator/>
      </w:r>
    </w:p>
  </w:endnote>
  <w:endnote w:type="continuationSeparator" w:id="0">
    <w:p w:rsidR="00E632CB" w:rsidRDefault="00E632CB" w:rsidP="00E63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2CB" w:rsidRDefault="00E632CB" w:rsidP="00E632CB">
      <w:r>
        <w:separator/>
      </w:r>
    </w:p>
  </w:footnote>
  <w:footnote w:type="continuationSeparator" w:id="0">
    <w:p w:rsidR="00E632CB" w:rsidRDefault="00E632CB" w:rsidP="00E63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5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632CB" w:rsidRDefault="00E632CB">
        <w:pPr>
          <w:pStyle w:val="a3"/>
          <w:jc w:val="center"/>
          <w:rPr>
            <w:sz w:val="22"/>
            <w:szCs w:val="22"/>
          </w:rPr>
        </w:pPr>
        <w:r w:rsidRPr="00E632CB">
          <w:rPr>
            <w:sz w:val="22"/>
            <w:szCs w:val="22"/>
          </w:rPr>
          <w:fldChar w:fldCharType="begin"/>
        </w:r>
        <w:r w:rsidRPr="00E632CB">
          <w:rPr>
            <w:sz w:val="22"/>
            <w:szCs w:val="22"/>
          </w:rPr>
          <w:instrText xml:space="preserve"> PAGE   \* MERGEFORMAT </w:instrText>
        </w:r>
        <w:r w:rsidRPr="00E632CB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47</w:t>
        </w:r>
        <w:r w:rsidRPr="00E632CB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0EA"/>
    <w:rsid w:val="00203FFC"/>
    <w:rsid w:val="00226D94"/>
    <w:rsid w:val="003900EA"/>
    <w:rsid w:val="00435467"/>
    <w:rsid w:val="004F5FEE"/>
    <w:rsid w:val="006662F6"/>
    <w:rsid w:val="009F5FAB"/>
    <w:rsid w:val="00C01212"/>
    <w:rsid w:val="00D93461"/>
    <w:rsid w:val="00E6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3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32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Александровна</dc:creator>
  <cp:keywords/>
  <dc:description/>
  <cp:lastModifiedBy>Finansist-02</cp:lastModifiedBy>
  <cp:revision>5</cp:revision>
  <dcterms:created xsi:type="dcterms:W3CDTF">2020-10-29T09:10:00Z</dcterms:created>
  <dcterms:modified xsi:type="dcterms:W3CDTF">2020-11-02T13:08:00Z</dcterms:modified>
</cp:coreProperties>
</file>